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285713" w14:textId="7FD9D50A" w:rsidR="00C41380" w:rsidRPr="0046489D" w:rsidRDefault="00B33EE3" w:rsidP="007C36E4">
      <w:r>
        <w:rPr>
          <w:noProof/>
          <w:lang w:val="en-GB" w:eastAsia="en-GB"/>
        </w:rPr>
        <mc:AlternateContent>
          <mc:Choice Requires="wps">
            <w:drawing>
              <wp:anchor distT="0" distB="0" distL="114300" distR="114300" simplePos="0" relativeHeight="251659264" behindDoc="1" locked="0" layoutInCell="1" allowOverlap="1" wp14:anchorId="62CEE661" wp14:editId="20F756A5">
                <wp:simplePos x="0" y="0"/>
                <wp:positionH relativeFrom="column">
                  <wp:posOffset>-333403</wp:posOffset>
                </wp:positionH>
                <wp:positionV relativeFrom="paragraph">
                  <wp:posOffset>-541020</wp:posOffset>
                </wp:positionV>
                <wp:extent cx="6782435" cy="9946640"/>
                <wp:effectExtent l="0" t="0" r="0" b="10160"/>
                <wp:wrapNone/>
                <wp:docPr id="1" name="Rounded Rectangle 1" descr="Decorative."/>
                <wp:cNvGraphicFramePr/>
                <a:graphic xmlns:a="http://schemas.openxmlformats.org/drawingml/2006/main">
                  <a:graphicData uri="http://schemas.microsoft.com/office/word/2010/wordprocessingShape">
                    <wps:wsp>
                      <wps:cNvSpPr/>
                      <wps:spPr>
                        <a:xfrm>
                          <a:off x="0" y="0"/>
                          <a:ext cx="6782435" cy="9946640"/>
                        </a:xfrm>
                        <a:prstGeom prst="roundRect">
                          <a:avLst>
                            <a:gd name="adj" fmla="val 4981"/>
                          </a:avLst>
                        </a:prstGeom>
                        <a:solidFill>
                          <a:srgbClr val="516A8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83EBCCC" id="Rounded Rectangle 1" o:spid="_x0000_s1026" alt="Decorative." style="position:absolute;margin-left:-26.25pt;margin-top:-42.6pt;width:534.05pt;height:783.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3265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" fillcolor="#516a8e" stroked="f" strokeweight="1pt">
                <v:stroke joinstyle="miter"/>
              </v:roundrect>
            </w:pict>
          </mc:Fallback>
        </mc:AlternateContent>
      </w:r>
      <w:r w:rsidR="00C41380" w:rsidRPr="0046489D">
        <w:rPr>
          <w:noProof/>
          <w:lang w:val="en-GB" w:eastAsia="en-GB"/>
        </w:rPr>
        <mc:AlternateContent>
          <mc:Choice Requires="wpg">
            <w:drawing>
              <wp:anchor distT="0" distB="0" distL="114300" distR="114300" simplePos="0" relativeHeight="251655168" behindDoc="0" locked="0" layoutInCell="1" allowOverlap="1" wp14:anchorId="00CCC42C" wp14:editId="37F46163">
                <wp:simplePos x="0" y="0"/>
                <wp:positionH relativeFrom="column">
                  <wp:posOffset>4629150</wp:posOffset>
                </wp:positionH>
                <wp:positionV relativeFrom="paragraph">
                  <wp:posOffset>-4898390</wp:posOffset>
                </wp:positionV>
                <wp:extent cx="1819275" cy="771525"/>
                <wp:effectExtent l="6350" t="3810" r="3175" b="0"/>
                <wp:wrapNone/>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9275" cy="771525"/>
                          <a:chOff x="8895" y="1230"/>
                          <a:chExt cx="2865" cy="1215"/>
                        </a:xfrm>
                      </wpg:grpSpPr>
                      <wps:wsp>
                        <wps:cNvPr id="19" name="Text Box 19"/>
                        <wps:cNvSpPr txBox="1">
                          <a:spLocks noChangeArrowheads="1"/>
                        </wps:cNvSpPr>
                        <wps:spPr bwMode="auto">
                          <a:xfrm>
                            <a:off x="10290" y="1230"/>
                            <a:ext cx="1470" cy="1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5C31B9" w14:textId="77777777" w:rsidR="00FE12F6" w:rsidRDefault="00FE12F6" w:rsidP="00C41380">
                              <w:pPr>
                                <w:rPr>
                                  <w:color w:val="FFFFFF"/>
                                  <w:sz w:val="92"/>
                                  <w:szCs w:val="92"/>
                                </w:rPr>
                              </w:pPr>
                              <w:r>
                                <w:rPr>
                                  <w:color w:val="FFFFFF"/>
                                  <w:sz w:val="92"/>
                                  <w:szCs w:val="92"/>
                                </w:rPr>
                                <w:t>08</w:t>
                              </w:r>
                            </w:p>
                          </w:txbxContent>
                        </wps:txbx>
                        <wps:bodyPr rot="0" vert="horz" wrap="square" lIns="91440" tIns="45720" rIns="91440" bIns="45720" anchor="t" anchorCtr="0" upright="1">
                          <a:noAutofit/>
                        </wps:bodyPr>
                      </wps:wsp>
                      <wps:wsp>
                        <wps:cNvPr id="20" name="AutoShape 6"/>
                        <wps:cNvCnPr>
                          <a:cxnSpLocks noChangeShapeType="1"/>
                        </wps:cNvCnPr>
                        <wps:spPr bwMode="auto">
                          <a:xfrm>
                            <a:off x="10290" y="1590"/>
                            <a:ext cx="0" cy="630"/>
                          </a:xfrm>
                          <a:prstGeom prst="straightConnector1">
                            <a:avLst/>
                          </a:prstGeom>
                          <a:noFill/>
                          <a:ln w="19050">
                            <a:solidFill>
                              <a:srgbClr val="FFFFFF"/>
                            </a:solidFill>
                            <a:round/>
                            <a:headEnd/>
                            <a:tailEnd/>
                          </a:ln>
                          <a:extLst>
                            <a:ext uri="{909E8E84-426E-40DD-AFC4-6F175D3DCCD1}">
                              <a14:hiddenFill xmlns:a14="http://schemas.microsoft.com/office/drawing/2010/main">
                                <a:noFill/>
                              </a14:hiddenFill>
                            </a:ext>
                          </a:extLst>
                        </wps:spPr>
                        <wps:bodyPr/>
                      </wps:wsp>
                      <wps:wsp>
                        <wps:cNvPr id="21" name="Text Box 21"/>
                        <wps:cNvSpPr txBox="1">
                          <a:spLocks noChangeArrowheads="1"/>
                        </wps:cNvSpPr>
                        <wps:spPr bwMode="auto">
                          <a:xfrm>
                            <a:off x="8895" y="1455"/>
                            <a:ext cx="1365" cy="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F63272" w14:textId="77777777" w:rsidR="00FE12F6" w:rsidRDefault="00FE12F6" w:rsidP="00C41380">
                              <w:pPr>
                                <w:jc w:val="right"/>
                                <w:rPr>
                                  <w:rFonts w:ascii="Calibri" w:hAnsi="Calibri"/>
                                  <w:b/>
                                  <w:color w:val="FFFFFF"/>
                                  <w:sz w:val="32"/>
                                  <w:szCs w:val="32"/>
                                </w:rPr>
                              </w:pPr>
                              <w:r>
                                <w:rPr>
                                  <w:rFonts w:ascii="Calibri" w:hAnsi="Calibri"/>
                                  <w:b/>
                                  <w:color w:val="FFFFFF"/>
                                  <w:sz w:val="32"/>
                                  <w:szCs w:val="32"/>
                                </w:rPr>
                                <w:t>Fall</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CCC42C" id="Group 18" o:spid="_x0000_s1026" style="position:absolute;margin-left:364.5pt;margin-top:-385.7pt;width:143.25pt;height:60.75pt;z-index:251655168" coordorigin="8895,1230" coordsize="2865,121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">
                <v:shapetype id="_x0000_t202" coordsize="21600,21600" o:spt="202" path="m,l,21600r21600,l21600,xe">
                  <v:stroke joinstyle="miter"/>
                  <v:path gradientshapeok="t" o:connecttype="rect"/>
                </v:shapetype>
                <v:shape id="Text Box 19" o:spid="_x0000_s1027" type="#_x0000_t202" style="position:absolute;left:10290;top:1230;width:1470;height:121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" filled="f" stroked="f">
                  <v:textbox>
                    <w:txbxContent>
                      <w:p w14:paraId="705C31B9" w14:textId="77777777" w:rsidR="00FE12F6" w:rsidRDefault="00FE12F6" w:rsidP="00C41380">
                        <w:pPr>
                          <w:rPr>
                            <w:color w:val="FFFFFF"/>
                            <w:sz w:val="92"/>
                            <w:szCs w:val="92"/>
                          </w:rPr>
                        </w:pPr>
                        <w:r>
                          <w:rPr>
                            <w:color w:val="FFFFFF"/>
                            <w:sz w:val="92"/>
                            <w:szCs w:val="92"/>
                          </w:rPr>
                          <w:t>08</w:t>
                        </w:r>
                      </w:p>
                    </w:txbxContent>
                  </v:textbox>
                </v:shape>
                <v:shapetype id="_x0000_t32" coordsize="21600,21600" o:spt="32" o:oned="t" path="m,l21600,21600e" filled="f">
                  <v:path arrowok="t" fillok="f" o:connecttype="none"/>
                  <o:lock v:ext="edit" shapetype="t"/>
                </v:shapetype>
                <v:shape id="AutoShape 6" o:spid="_x0000_s1028" type="#_x0000_t32" style="position:absolute;left:10290;top:1590;width:0;height:63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" strokecolor="white" strokeweight="1.5pt"/>
                <v:shape id="Text Box 21" o:spid="_x0000_s1029" type="#_x0000_t202" style="position:absolute;left:8895;top:1455;width:1365;height:63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" filled="f" stroked="f">
                  <v:textbox>
                    <w:txbxContent>
                      <w:p w14:paraId="59F63272" w14:textId="77777777" w:rsidR="00FE12F6" w:rsidRDefault="00FE12F6" w:rsidP="00C41380">
                        <w:pPr>
                          <w:jc w:val="right"/>
                          <w:rPr>
                            <w:rFonts w:ascii="Calibri" w:hAnsi="Calibri"/>
                            <w:b/>
                            <w:color w:val="FFFFFF"/>
                            <w:sz w:val="32"/>
                            <w:szCs w:val="32"/>
                          </w:rPr>
                        </w:pPr>
                        <w:r>
                          <w:rPr>
                            <w:rFonts w:ascii="Calibri" w:hAnsi="Calibri"/>
                            <w:b/>
                            <w:color w:val="FFFFFF"/>
                            <w:sz w:val="32"/>
                            <w:szCs w:val="32"/>
                          </w:rPr>
                          <w:t>Fall</w:t>
                        </w:r>
                      </w:p>
                    </w:txbxContent>
                  </v:textbox>
                </v:shape>
              </v:group>
            </w:pict>
          </mc:Fallback>
        </mc:AlternateContent>
      </w:r>
    </w:p>
    <w:p w14:paraId="2B55AA0C" w14:textId="77777777" w:rsidR="0051156D" w:rsidRDefault="0051156D" w:rsidP="007C36E4">
      <w:pPr>
        <w:pStyle w:val="mpctitle1"/>
        <w:spacing w:before="1440"/>
        <w:rPr>
          <w:b/>
          <w:bCs/>
        </w:rPr>
      </w:pPr>
      <w:bookmarkStart w:id="0" w:name="Cover_Page"/>
      <w:bookmarkStart w:id="1" w:name="_Toc438649428"/>
      <w:bookmarkEnd w:id="0"/>
    </w:p>
    <w:p w14:paraId="3D65BFA1" w14:textId="6851F5F5" w:rsidR="001220E4" w:rsidRPr="00137B93" w:rsidRDefault="00E40513" w:rsidP="007C36E4">
      <w:pPr>
        <w:pStyle w:val="mpctitle1"/>
        <w:spacing w:before="1440"/>
        <w:rPr>
          <w:b/>
          <w:bCs/>
        </w:rPr>
      </w:pPr>
      <w:r w:rsidRPr="00137B93">
        <w:rPr>
          <w:b/>
          <w:bCs/>
        </w:rPr>
        <w:t xml:space="preserve">Aged Care Worker Regulation Scheme </w:t>
      </w:r>
    </w:p>
    <w:p w14:paraId="19FA2171" w14:textId="77777777" w:rsidR="00B92498" w:rsidRPr="0010677B" w:rsidRDefault="00B92498" w:rsidP="007C36E4">
      <w:pPr>
        <w:pStyle w:val="mpctitle1"/>
        <w:spacing w:before="1440"/>
        <w:rPr>
          <w:b/>
        </w:rPr>
      </w:pPr>
    </w:p>
    <w:p w14:paraId="18717622" w14:textId="0BF45745" w:rsidR="001220E4" w:rsidRDefault="007C36E4" w:rsidP="0051156D">
      <w:pPr>
        <w:pStyle w:val="mpctitle2"/>
        <w:spacing w:before="360"/>
      </w:pPr>
      <w:r>
        <w:t>P</w:t>
      </w:r>
      <w:r w:rsidR="001220E4" w:rsidRPr="00420839">
        <w:t xml:space="preserve">repared for the Department of </w:t>
      </w:r>
      <w:r w:rsidR="00E40513">
        <w:t>Health</w:t>
      </w:r>
      <w:r w:rsidR="001220E4" w:rsidRPr="00420839">
        <w:br/>
      </w:r>
      <w:bookmarkEnd w:id="1"/>
      <w:r w:rsidR="00FD0020">
        <w:t>August</w:t>
      </w:r>
      <w:r w:rsidR="00FD0020" w:rsidRPr="00420839">
        <w:t xml:space="preserve"> </w:t>
      </w:r>
      <w:r w:rsidR="00E40513">
        <w:t>2020</w:t>
      </w:r>
    </w:p>
    <w:p w14:paraId="64031DC1" w14:textId="77777777" w:rsidR="0051156D" w:rsidRPr="00420839" w:rsidRDefault="0051156D" w:rsidP="0051156D">
      <w:pPr>
        <w:pStyle w:val="mpctitle2"/>
        <w:spacing w:before="360"/>
      </w:pPr>
    </w:p>
    <w:p w14:paraId="728C35BA" w14:textId="07F62280" w:rsidR="001220E4" w:rsidRPr="001220E4" w:rsidRDefault="001220E4" w:rsidP="007C36E4">
      <w:pPr>
        <w:ind w:left="284"/>
        <w:rPr>
          <w:lang w:val="en-US" w:eastAsia="ja-JP"/>
        </w:rPr>
      </w:pPr>
      <w:r>
        <w:rPr>
          <w:noProof/>
          <w:lang w:val="en-GB" w:eastAsia="en-GB"/>
        </w:rPr>
        <w:drawing>
          <wp:inline distT="0" distB="0" distL="0" distR="0" wp14:anchorId="08964904" wp14:editId="638E61FC">
            <wp:extent cx="3085106" cy="540731"/>
            <wp:effectExtent l="0" t="0" r="1270" b="5715"/>
            <wp:docPr id="6" name="Picture 6" descr="mpconsulting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pc-logo-whit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08354" cy="562333"/>
                    </a:xfrm>
                    <a:prstGeom prst="rect">
                      <a:avLst/>
                    </a:prstGeom>
                  </pic:spPr>
                </pic:pic>
              </a:graphicData>
            </a:graphic>
          </wp:inline>
        </w:drawing>
      </w:r>
    </w:p>
    <w:p w14:paraId="2A0EB0CE" w14:textId="77777777" w:rsidR="00037EC7" w:rsidRDefault="00037EC7" w:rsidP="007C36E4"/>
    <w:p w14:paraId="10A19C51" w14:textId="77777777" w:rsidR="00037EC7" w:rsidRPr="0046489D" w:rsidRDefault="00037EC7" w:rsidP="007C36E4">
      <w:pPr>
        <w:sectPr w:rsidR="00037EC7" w:rsidRPr="0046489D" w:rsidSect="00A6237D">
          <w:pgSz w:w="11900" w:h="16840"/>
          <w:pgMar w:top="1440" w:right="1080" w:bottom="1440" w:left="1080" w:header="709" w:footer="709" w:gutter="0"/>
          <w:cols w:space="708"/>
          <w:docGrid w:linePitch="360"/>
        </w:sectPr>
      </w:pPr>
    </w:p>
    <w:p w14:paraId="1C637ED7" w14:textId="77777777" w:rsidR="00C41380" w:rsidRPr="0046489D" w:rsidRDefault="00C41380" w:rsidP="007C36E4">
      <w:pPr>
        <w:pStyle w:val="mpcNormal"/>
        <w:pBdr>
          <w:bottom w:val="single" w:sz="12" w:space="1" w:color="auto"/>
        </w:pBdr>
        <w:rPr>
          <w:b/>
          <w:sz w:val="36"/>
          <w:szCs w:val="36"/>
        </w:rPr>
      </w:pPr>
      <w:bookmarkStart w:id="2" w:name="Table_of_Contents"/>
      <w:bookmarkEnd w:id="2"/>
      <w:r w:rsidRPr="0046489D">
        <w:rPr>
          <w:b/>
          <w:sz w:val="36"/>
          <w:szCs w:val="36"/>
        </w:rPr>
        <w:lastRenderedPageBreak/>
        <w:t>Table of Contents</w:t>
      </w:r>
    </w:p>
    <w:bookmarkStart w:id="3" w:name="_Toc450649510"/>
    <w:p w14:paraId="0EC39E48" w14:textId="503C9E3E" w:rsidR="00767B14" w:rsidRDefault="00515C47">
      <w:pPr>
        <w:pStyle w:val="TOC1"/>
        <w:tabs>
          <w:tab w:val="right" w:leader="dot" w:pos="9736"/>
        </w:tabs>
        <w:rPr>
          <w:rFonts w:eastAsiaTheme="minorEastAsia"/>
          <w:b w:val="0"/>
          <w:bCs w:val="0"/>
          <w:noProof/>
          <w:lang w:eastAsia="en-GB"/>
        </w:rPr>
      </w:pPr>
      <w:r>
        <w:rPr>
          <w:b w:val="0"/>
          <w:bCs w:val="0"/>
        </w:rPr>
        <w:fldChar w:fldCharType="begin"/>
      </w:r>
      <w:r>
        <w:rPr>
          <w:b w:val="0"/>
          <w:bCs w:val="0"/>
        </w:rPr>
        <w:instrText xml:space="preserve"> TOC \h \z \t "mpc heading 1,1,mpc heading 2,2,mpc heading 3,3,mpc heading 4,4,mpc heading 5,5,mpc table heading,3" </w:instrText>
      </w:r>
      <w:r>
        <w:rPr>
          <w:b w:val="0"/>
          <w:bCs w:val="0"/>
        </w:rPr>
        <w:fldChar w:fldCharType="separate"/>
      </w:r>
      <w:hyperlink w:anchor="_Toc49253227" w:history="1">
        <w:r w:rsidR="00767B14" w:rsidRPr="00E73DA9">
          <w:rPr>
            <w:rStyle w:val="Hyperlink"/>
            <w:noProof/>
          </w:rPr>
          <w:t>Executive Summary</w:t>
        </w:r>
        <w:r w:rsidR="00767B14">
          <w:rPr>
            <w:noProof/>
            <w:webHidden/>
          </w:rPr>
          <w:tab/>
        </w:r>
        <w:r w:rsidR="00767B14">
          <w:rPr>
            <w:noProof/>
            <w:webHidden/>
          </w:rPr>
          <w:fldChar w:fldCharType="begin"/>
        </w:r>
        <w:r w:rsidR="00767B14">
          <w:rPr>
            <w:noProof/>
            <w:webHidden/>
          </w:rPr>
          <w:instrText xml:space="preserve"> PAGEREF _Toc49253227 \h </w:instrText>
        </w:r>
        <w:r w:rsidR="00767B14">
          <w:rPr>
            <w:noProof/>
            <w:webHidden/>
          </w:rPr>
        </w:r>
        <w:r w:rsidR="00767B14">
          <w:rPr>
            <w:noProof/>
            <w:webHidden/>
          </w:rPr>
          <w:fldChar w:fldCharType="separate"/>
        </w:r>
        <w:r w:rsidR="00767B14">
          <w:rPr>
            <w:noProof/>
            <w:webHidden/>
          </w:rPr>
          <w:t>3</w:t>
        </w:r>
        <w:r w:rsidR="00767B14">
          <w:rPr>
            <w:noProof/>
            <w:webHidden/>
          </w:rPr>
          <w:fldChar w:fldCharType="end"/>
        </w:r>
      </w:hyperlink>
    </w:p>
    <w:p w14:paraId="019BDF84" w14:textId="69270E16" w:rsidR="00767B14" w:rsidRDefault="00767B14">
      <w:pPr>
        <w:pStyle w:val="TOC1"/>
        <w:tabs>
          <w:tab w:val="right" w:leader="dot" w:pos="9736"/>
        </w:tabs>
        <w:rPr>
          <w:rFonts w:eastAsiaTheme="minorEastAsia"/>
          <w:b w:val="0"/>
          <w:bCs w:val="0"/>
          <w:noProof/>
          <w:lang w:eastAsia="en-GB"/>
        </w:rPr>
      </w:pPr>
      <w:hyperlink w:anchor="_Toc49253228" w:history="1">
        <w:r w:rsidRPr="00E73DA9">
          <w:rPr>
            <w:rStyle w:val="Hyperlink"/>
            <w:noProof/>
          </w:rPr>
          <w:t>Chapter 1 – Context</w:t>
        </w:r>
        <w:r>
          <w:rPr>
            <w:noProof/>
            <w:webHidden/>
          </w:rPr>
          <w:tab/>
        </w:r>
        <w:r>
          <w:rPr>
            <w:noProof/>
            <w:webHidden/>
          </w:rPr>
          <w:fldChar w:fldCharType="begin"/>
        </w:r>
        <w:r>
          <w:rPr>
            <w:noProof/>
            <w:webHidden/>
          </w:rPr>
          <w:instrText xml:space="preserve"> PAGEREF _Toc49253228 \h </w:instrText>
        </w:r>
        <w:r>
          <w:rPr>
            <w:noProof/>
            <w:webHidden/>
          </w:rPr>
        </w:r>
        <w:r>
          <w:rPr>
            <w:noProof/>
            <w:webHidden/>
          </w:rPr>
          <w:fldChar w:fldCharType="separate"/>
        </w:r>
        <w:r>
          <w:rPr>
            <w:noProof/>
            <w:webHidden/>
          </w:rPr>
          <w:t>5</w:t>
        </w:r>
        <w:r>
          <w:rPr>
            <w:noProof/>
            <w:webHidden/>
          </w:rPr>
          <w:fldChar w:fldCharType="end"/>
        </w:r>
      </w:hyperlink>
    </w:p>
    <w:p w14:paraId="53DA76A3" w14:textId="3D886D2A" w:rsidR="00767B14" w:rsidRDefault="00767B14">
      <w:pPr>
        <w:pStyle w:val="TOC2"/>
        <w:rPr>
          <w:rFonts w:eastAsiaTheme="minorEastAsia"/>
          <w:b w:val="0"/>
          <w:bCs w:val="0"/>
          <w:noProof/>
          <w:sz w:val="24"/>
          <w:szCs w:val="24"/>
          <w:lang w:eastAsia="en-GB"/>
        </w:rPr>
      </w:pPr>
      <w:hyperlink w:anchor="_Toc49253229" w:history="1">
        <w:r w:rsidRPr="00E73DA9">
          <w:rPr>
            <w:rStyle w:val="Hyperlink"/>
            <w:noProof/>
          </w:rPr>
          <w:t>Background</w:t>
        </w:r>
        <w:r>
          <w:rPr>
            <w:noProof/>
            <w:webHidden/>
          </w:rPr>
          <w:tab/>
        </w:r>
        <w:r>
          <w:rPr>
            <w:noProof/>
            <w:webHidden/>
          </w:rPr>
          <w:fldChar w:fldCharType="begin"/>
        </w:r>
        <w:r>
          <w:rPr>
            <w:noProof/>
            <w:webHidden/>
          </w:rPr>
          <w:instrText xml:space="preserve"> PAGEREF _Toc49253229 \h </w:instrText>
        </w:r>
        <w:r>
          <w:rPr>
            <w:noProof/>
            <w:webHidden/>
          </w:rPr>
        </w:r>
        <w:r>
          <w:rPr>
            <w:noProof/>
            <w:webHidden/>
          </w:rPr>
          <w:fldChar w:fldCharType="separate"/>
        </w:r>
        <w:r>
          <w:rPr>
            <w:noProof/>
            <w:webHidden/>
          </w:rPr>
          <w:t>5</w:t>
        </w:r>
        <w:r>
          <w:rPr>
            <w:noProof/>
            <w:webHidden/>
          </w:rPr>
          <w:fldChar w:fldCharType="end"/>
        </w:r>
      </w:hyperlink>
    </w:p>
    <w:p w14:paraId="7F062115" w14:textId="7460CC30" w:rsidR="00767B14" w:rsidRDefault="00767B14">
      <w:pPr>
        <w:pStyle w:val="TOC2"/>
        <w:rPr>
          <w:rFonts w:eastAsiaTheme="minorEastAsia"/>
          <w:b w:val="0"/>
          <w:bCs w:val="0"/>
          <w:noProof/>
          <w:sz w:val="24"/>
          <w:szCs w:val="24"/>
          <w:lang w:eastAsia="en-GB"/>
        </w:rPr>
      </w:pPr>
      <w:hyperlink w:anchor="_Toc49253230" w:history="1">
        <w:r w:rsidRPr="00E73DA9">
          <w:rPr>
            <w:rStyle w:val="Hyperlink"/>
            <w:noProof/>
          </w:rPr>
          <w:t>Conduct and scope of project</w:t>
        </w:r>
        <w:r>
          <w:rPr>
            <w:noProof/>
            <w:webHidden/>
          </w:rPr>
          <w:tab/>
        </w:r>
        <w:r>
          <w:rPr>
            <w:noProof/>
            <w:webHidden/>
          </w:rPr>
          <w:fldChar w:fldCharType="begin"/>
        </w:r>
        <w:r>
          <w:rPr>
            <w:noProof/>
            <w:webHidden/>
          </w:rPr>
          <w:instrText xml:space="preserve"> PAGEREF _Toc49253230 \h </w:instrText>
        </w:r>
        <w:r>
          <w:rPr>
            <w:noProof/>
            <w:webHidden/>
          </w:rPr>
        </w:r>
        <w:r>
          <w:rPr>
            <w:noProof/>
            <w:webHidden/>
          </w:rPr>
          <w:fldChar w:fldCharType="separate"/>
        </w:r>
        <w:r>
          <w:rPr>
            <w:noProof/>
            <w:webHidden/>
          </w:rPr>
          <w:t>5</w:t>
        </w:r>
        <w:r>
          <w:rPr>
            <w:noProof/>
            <w:webHidden/>
          </w:rPr>
          <w:fldChar w:fldCharType="end"/>
        </w:r>
      </w:hyperlink>
    </w:p>
    <w:p w14:paraId="29300E14" w14:textId="260ED4EA" w:rsidR="00767B14" w:rsidRDefault="00767B14">
      <w:pPr>
        <w:pStyle w:val="TOC1"/>
        <w:tabs>
          <w:tab w:val="right" w:leader="dot" w:pos="9736"/>
        </w:tabs>
        <w:rPr>
          <w:rFonts w:eastAsiaTheme="minorEastAsia"/>
          <w:b w:val="0"/>
          <w:bCs w:val="0"/>
          <w:noProof/>
          <w:lang w:eastAsia="en-GB"/>
        </w:rPr>
      </w:pPr>
      <w:hyperlink w:anchor="_Toc49253231" w:history="1">
        <w:r w:rsidRPr="00E73DA9">
          <w:rPr>
            <w:rStyle w:val="Hyperlink"/>
            <w:noProof/>
          </w:rPr>
          <w:t>Chapter 2 – Key issues and objectives</w:t>
        </w:r>
        <w:r>
          <w:rPr>
            <w:noProof/>
            <w:webHidden/>
          </w:rPr>
          <w:tab/>
        </w:r>
        <w:r>
          <w:rPr>
            <w:noProof/>
            <w:webHidden/>
          </w:rPr>
          <w:fldChar w:fldCharType="begin"/>
        </w:r>
        <w:r>
          <w:rPr>
            <w:noProof/>
            <w:webHidden/>
          </w:rPr>
          <w:instrText xml:space="preserve"> PAGEREF _Toc49253231 \h </w:instrText>
        </w:r>
        <w:r>
          <w:rPr>
            <w:noProof/>
            <w:webHidden/>
          </w:rPr>
        </w:r>
        <w:r>
          <w:rPr>
            <w:noProof/>
            <w:webHidden/>
          </w:rPr>
          <w:fldChar w:fldCharType="separate"/>
        </w:r>
        <w:r>
          <w:rPr>
            <w:noProof/>
            <w:webHidden/>
          </w:rPr>
          <w:t>7</w:t>
        </w:r>
        <w:r>
          <w:rPr>
            <w:noProof/>
            <w:webHidden/>
          </w:rPr>
          <w:fldChar w:fldCharType="end"/>
        </w:r>
      </w:hyperlink>
    </w:p>
    <w:p w14:paraId="3398DB06" w14:textId="6BF8FE39" w:rsidR="00767B14" w:rsidRDefault="00767B14">
      <w:pPr>
        <w:pStyle w:val="TOC2"/>
        <w:rPr>
          <w:rFonts w:eastAsiaTheme="minorEastAsia"/>
          <w:b w:val="0"/>
          <w:bCs w:val="0"/>
          <w:noProof/>
          <w:sz w:val="24"/>
          <w:szCs w:val="24"/>
          <w:lang w:eastAsia="en-GB"/>
        </w:rPr>
      </w:pPr>
      <w:hyperlink w:anchor="_Toc49253232" w:history="1">
        <w:r w:rsidRPr="00E73DA9">
          <w:rPr>
            <w:rStyle w:val="Hyperlink"/>
            <w:noProof/>
          </w:rPr>
          <w:t>Key issues a worker regulation scheme seeks to address</w:t>
        </w:r>
        <w:r>
          <w:rPr>
            <w:noProof/>
            <w:webHidden/>
          </w:rPr>
          <w:tab/>
        </w:r>
        <w:r>
          <w:rPr>
            <w:noProof/>
            <w:webHidden/>
          </w:rPr>
          <w:fldChar w:fldCharType="begin"/>
        </w:r>
        <w:r>
          <w:rPr>
            <w:noProof/>
            <w:webHidden/>
          </w:rPr>
          <w:instrText xml:space="preserve"> PAGEREF _Toc49253232 \h </w:instrText>
        </w:r>
        <w:r>
          <w:rPr>
            <w:noProof/>
            <w:webHidden/>
          </w:rPr>
        </w:r>
        <w:r>
          <w:rPr>
            <w:noProof/>
            <w:webHidden/>
          </w:rPr>
          <w:fldChar w:fldCharType="separate"/>
        </w:r>
        <w:r>
          <w:rPr>
            <w:noProof/>
            <w:webHidden/>
          </w:rPr>
          <w:t>7</w:t>
        </w:r>
        <w:r>
          <w:rPr>
            <w:noProof/>
            <w:webHidden/>
          </w:rPr>
          <w:fldChar w:fldCharType="end"/>
        </w:r>
      </w:hyperlink>
    </w:p>
    <w:p w14:paraId="0A175325" w14:textId="2CC5A5C5" w:rsidR="00767B14" w:rsidRDefault="00767B14">
      <w:pPr>
        <w:pStyle w:val="TOC2"/>
        <w:rPr>
          <w:rFonts w:eastAsiaTheme="minorEastAsia"/>
          <w:b w:val="0"/>
          <w:bCs w:val="0"/>
          <w:noProof/>
          <w:sz w:val="24"/>
          <w:szCs w:val="24"/>
          <w:lang w:eastAsia="en-GB"/>
        </w:rPr>
      </w:pPr>
      <w:hyperlink w:anchor="_Toc49253233" w:history="1">
        <w:r w:rsidRPr="00E73DA9">
          <w:rPr>
            <w:rStyle w:val="Hyperlink"/>
            <w:noProof/>
          </w:rPr>
          <w:t>Objectives of a worker regulation scheme</w:t>
        </w:r>
        <w:r>
          <w:rPr>
            <w:noProof/>
            <w:webHidden/>
          </w:rPr>
          <w:tab/>
        </w:r>
        <w:r>
          <w:rPr>
            <w:noProof/>
            <w:webHidden/>
          </w:rPr>
          <w:fldChar w:fldCharType="begin"/>
        </w:r>
        <w:r>
          <w:rPr>
            <w:noProof/>
            <w:webHidden/>
          </w:rPr>
          <w:instrText xml:space="preserve"> PAGEREF _Toc49253233 \h </w:instrText>
        </w:r>
        <w:r>
          <w:rPr>
            <w:noProof/>
            <w:webHidden/>
          </w:rPr>
        </w:r>
        <w:r>
          <w:rPr>
            <w:noProof/>
            <w:webHidden/>
          </w:rPr>
          <w:fldChar w:fldCharType="separate"/>
        </w:r>
        <w:r>
          <w:rPr>
            <w:noProof/>
            <w:webHidden/>
          </w:rPr>
          <w:t>7</w:t>
        </w:r>
        <w:r>
          <w:rPr>
            <w:noProof/>
            <w:webHidden/>
          </w:rPr>
          <w:fldChar w:fldCharType="end"/>
        </w:r>
      </w:hyperlink>
    </w:p>
    <w:p w14:paraId="3BDD5D60" w14:textId="705604B6" w:rsidR="00767B14" w:rsidRDefault="00767B14">
      <w:pPr>
        <w:pStyle w:val="TOC1"/>
        <w:tabs>
          <w:tab w:val="right" w:leader="dot" w:pos="9736"/>
        </w:tabs>
        <w:rPr>
          <w:rFonts w:eastAsiaTheme="minorEastAsia"/>
          <w:b w:val="0"/>
          <w:bCs w:val="0"/>
          <w:noProof/>
          <w:lang w:eastAsia="en-GB"/>
        </w:rPr>
      </w:pPr>
      <w:hyperlink w:anchor="_Toc49253234" w:history="1">
        <w:r w:rsidRPr="00E73DA9">
          <w:rPr>
            <w:rStyle w:val="Hyperlink"/>
            <w:noProof/>
          </w:rPr>
          <w:t>Chapter 3 – Existing regulatory environment relevant to consideration of reform</w:t>
        </w:r>
        <w:r>
          <w:rPr>
            <w:noProof/>
            <w:webHidden/>
          </w:rPr>
          <w:tab/>
        </w:r>
        <w:r>
          <w:rPr>
            <w:noProof/>
            <w:webHidden/>
          </w:rPr>
          <w:fldChar w:fldCharType="begin"/>
        </w:r>
        <w:r>
          <w:rPr>
            <w:noProof/>
            <w:webHidden/>
          </w:rPr>
          <w:instrText xml:space="preserve"> PAGEREF _Toc49253234 \h </w:instrText>
        </w:r>
        <w:r>
          <w:rPr>
            <w:noProof/>
            <w:webHidden/>
          </w:rPr>
        </w:r>
        <w:r>
          <w:rPr>
            <w:noProof/>
            <w:webHidden/>
          </w:rPr>
          <w:fldChar w:fldCharType="separate"/>
        </w:r>
        <w:r>
          <w:rPr>
            <w:noProof/>
            <w:webHidden/>
          </w:rPr>
          <w:t>8</w:t>
        </w:r>
        <w:r>
          <w:rPr>
            <w:noProof/>
            <w:webHidden/>
          </w:rPr>
          <w:fldChar w:fldCharType="end"/>
        </w:r>
      </w:hyperlink>
    </w:p>
    <w:p w14:paraId="365408C9" w14:textId="3EA574CC" w:rsidR="00767B14" w:rsidRDefault="00767B14">
      <w:pPr>
        <w:pStyle w:val="TOC2"/>
        <w:rPr>
          <w:rFonts w:eastAsiaTheme="minorEastAsia"/>
          <w:b w:val="0"/>
          <w:bCs w:val="0"/>
          <w:noProof/>
          <w:sz w:val="24"/>
          <w:szCs w:val="24"/>
          <w:lang w:eastAsia="en-GB"/>
        </w:rPr>
      </w:pPr>
      <w:hyperlink w:anchor="_Toc49253235" w:history="1">
        <w:r w:rsidRPr="00E73DA9">
          <w:rPr>
            <w:rStyle w:val="Hyperlink"/>
            <w:noProof/>
          </w:rPr>
          <w:t>Police check requirements in aged care</w:t>
        </w:r>
        <w:r>
          <w:rPr>
            <w:noProof/>
            <w:webHidden/>
          </w:rPr>
          <w:tab/>
        </w:r>
        <w:r>
          <w:rPr>
            <w:noProof/>
            <w:webHidden/>
          </w:rPr>
          <w:fldChar w:fldCharType="begin"/>
        </w:r>
        <w:r>
          <w:rPr>
            <w:noProof/>
            <w:webHidden/>
          </w:rPr>
          <w:instrText xml:space="preserve"> PAGEREF _Toc49253235 \h </w:instrText>
        </w:r>
        <w:r>
          <w:rPr>
            <w:noProof/>
            <w:webHidden/>
          </w:rPr>
        </w:r>
        <w:r>
          <w:rPr>
            <w:noProof/>
            <w:webHidden/>
          </w:rPr>
          <w:fldChar w:fldCharType="separate"/>
        </w:r>
        <w:r>
          <w:rPr>
            <w:noProof/>
            <w:webHidden/>
          </w:rPr>
          <w:t>8</w:t>
        </w:r>
        <w:r>
          <w:rPr>
            <w:noProof/>
            <w:webHidden/>
          </w:rPr>
          <w:fldChar w:fldCharType="end"/>
        </w:r>
      </w:hyperlink>
    </w:p>
    <w:p w14:paraId="50E1E9D9" w14:textId="0C6B1C1A" w:rsidR="00767B14" w:rsidRDefault="00767B14">
      <w:pPr>
        <w:pStyle w:val="TOC2"/>
        <w:rPr>
          <w:rFonts w:eastAsiaTheme="minorEastAsia"/>
          <w:b w:val="0"/>
          <w:bCs w:val="0"/>
          <w:noProof/>
          <w:sz w:val="24"/>
          <w:szCs w:val="24"/>
          <w:lang w:eastAsia="en-GB"/>
        </w:rPr>
      </w:pPr>
      <w:hyperlink w:anchor="_Toc49253236" w:history="1">
        <w:r w:rsidRPr="00E73DA9">
          <w:rPr>
            <w:rStyle w:val="Hyperlink"/>
            <w:noProof/>
          </w:rPr>
          <w:t>Competency requirements in aged care</w:t>
        </w:r>
        <w:r>
          <w:rPr>
            <w:noProof/>
            <w:webHidden/>
          </w:rPr>
          <w:tab/>
        </w:r>
        <w:r>
          <w:rPr>
            <w:noProof/>
            <w:webHidden/>
          </w:rPr>
          <w:fldChar w:fldCharType="begin"/>
        </w:r>
        <w:r>
          <w:rPr>
            <w:noProof/>
            <w:webHidden/>
          </w:rPr>
          <w:instrText xml:space="preserve"> PAGEREF _Toc49253236 \h </w:instrText>
        </w:r>
        <w:r>
          <w:rPr>
            <w:noProof/>
            <w:webHidden/>
          </w:rPr>
        </w:r>
        <w:r>
          <w:rPr>
            <w:noProof/>
            <w:webHidden/>
          </w:rPr>
          <w:fldChar w:fldCharType="separate"/>
        </w:r>
        <w:r>
          <w:rPr>
            <w:noProof/>
            <w:webHidden/>
          </w:rPr>
          <w:t>9</w:t>
        </w:r>
        <w:r>
          <w:rPr>
            <w:noProof/>
            <w:webHidden/>
          </w:rPr>
          <w:fldChar w:fldCharType="end"/>
        </w:r>
      </w:hyperlink>
    </w:p>
    <w:p w14:paraId="05D51A14" w14:textId="12197D08" w:rsidR="00767B14" w:rsidRDefault="00767B14">
      <w:pPr>
        <w:pStyle w:val="TOC2"/>
        <w:rPr>
          <w:rFonts w:eastAsiaTheme="minorEastAsia"/>
          <w:b w:val="0"/>
          <w:bCs w:val="0"/>
          <w:noProof/>
          <w:sz w:val="24"/>
          <w:szCs w:val="24"/>
          <w:lang w:eastAsia="en-GB"/>
        </w:rPr>
      </w:pPr>
      <w:hyperlink w:anchor="_Toc49253237" w:history="1">
        <w:r w:rsidRPr="00E73DA9">
          <w:rPr>
            <w:rStyle w:val="Hyperlink"/>
            <w:noProof/>
          </w:rPr>
          <w:t>Worker regulation in other schemes</w:t>
        </w:r>
        <w:r>
          <w:rPr>
            <w:noProof/>
            <w:webHidden/>
          </w:rPr>
          <w:tab/>
        </w:r>
        <w:r>
          <w:rPr>
            <w:noProof/>
            <w:webHidden/>
          </w:rPr>
          <w:fldChar w:fldCharType="begin"/>
        </w:r>
        <w:r>
          <w:rPr>
            <w:noProof/>
            <w:webHidden/>
          </w:rPr>
          <w:instrText xml:space="preserve"> PAGEREF _Toc49253237 \h </w:instrText>
        </w:r>
        <w:r>
          <w:rPr>
            <w:noProof/>
            <w:webHidden/>
          </w:rPr>
        </w:r>
        <w:r>
          <w:rPr>
            <w:noProof/>
            <w:webHidden/>
          </w:rPr>
          <w:fldChar w:fldCharType="separate"/>
        </w:r>
        <w:r>
          <w:rPr>
            <w:noProof/>
            <w:webHidden/>
          </w:rPr>
          <w:t>10</w:t>
        </w:r>
        <w:r>
          <w:rPr>
            <w:noProof/>
            <w:webHidden/>
          </w:rPr>
          <w:fldChar w:fldCharType="end"/>
        </w:r>
      </w:hyperlink>
    </w:p>
    <w:p w14:paraId="5B56287D" w14:textId="39DDE559" w:rsidR="00767B14" w:rsidRDefault="00767B14">
      <w:pPr>
        <w:pStyle w:val="TOC1"/>
        <w:tabs>
          <w:tab w:val="right" w:leader="dot" w:pos="9736"/>
        </w:tabs>
        <w:rPr>
          <w:rFonts w:eastAsiaTheme="minorEastAsia"/>
          <w:b w:val="0"/>
          <w:bCs w:val="0"/>
          <w:noProof/>
          <w:lang w:eastAsia="en-GB"/>
        </w:rPr>
      </w:pPr>
      <w:hyperlink w:anchor="_Toc49253238" w:history="1">
        <w:r w:rsidRPr="00E73DA9">
          <w:rPr>
            <w:rStyle w:val="Hyperlink"/>
            <w:noProof/>
          </w:rPr>
          <w:t>Chapter 4 – Worker screening scheme</w:t>
        </w:r>
        <w:r>
          <w:rPr>
            <w:noProof/>
            <w:webHidden/>
          </w:rPr>
          <w:tab/>
        </w:r>
        <w:r>
          <w:rPr>
            <w:noProof/>
            <w:webHidden/>
          </w:rPr>
          <w:fldChar w:fldCharType="begin"/>
        </w:r>
        <w:r>
          <w:rPr>
            <w:noProof/>
            <w:webHidden/>
          </w:rPr>
          <w:instrText xml:space="preserve"> PAGEREF _Toc49253238 \h </w:instrText>
        </w:r>
        <w:r>
          <w:rPr>
            <w:noProof/>
            <w:webHidden/>
          </w:rPr>
        </w:r>
        <w:r>
          <w:rPr>
            <w:noProof/>
            <w:webHidden/>
          </w:rPr>
          <w:fldChar w:fldCharType="separate"/>
        </w:r>
        <w:r>
          <w:rPr>
            <w:noProof/>
            <w:webHidden/>
          </w:rPr>
          <w:t>14</w:t>
        </w:r>
        <w:r>
          <w:rPr>
            <w:noProof/>
            <w:webHidden/>
          </w:rPr>
          <w:fldChar w:fldCharType="end"/>
        </w:r>
      </w:hyperlink>
    </w:p>
    <w:p w14:paraId="135C183B" w14:textId="2B247498" w:rsidR="00767B14" w:rsidRDefault="00767B14">
      <w:pPr>
        <w:pStyle w:val="TOC2"/>
        <w:rPr>
          <w:rFonts w:eastAsiaTheme="minorEastAsia"/>
          <w:b w:val="0"/>
          <w:bCs w:val="0"/>
          <w:noProof/>
          <w:sz w:val="24"/>
          <w:szCs w:val="24"/>
          <w:lang w:eastAsia="en-GB"/>
        </w:rPr>
      </w:pPr>
      <w:hyperlink w:anchor="_Toc49253239" w:history="1">
        <w:r w:rsidRPr="00E73DA9">
          <w:rPr>
            <w:rStyle w:val="Hyperlink"/>
            <w:noProof/>
          </w:rPr>
          <w:t>Who should be assessed?</w:t>
        </w:r>
        <w:r>
          <w:rPr>
            <w:noProof/>
            <w:webHidden/>
          </w:rPr>
          <w:tab/>
        </w:r>
        <w:r>
          <w:rPr>
            <w:noProof/>
            <w:webHidden/>
          </w:rPr>
          <w:fldChar w:fldCharType="begin"/>
        </w:r>
        <w:r>
          <w:rPr>
            <w:noProof/>
            <w:webHidden/>
          </w:rPr>
          <w:instrText xml:space="preserve"> PAGEREF _Toc49253239 \h </w:instrText>
        </w:r>
        <w:r>
          <w:rPr>
            <w:noProof/>
            <w:webHidden/>
          </w:rPr>
        </w:r>
        <w:r>
          <w:rPr>
            <w:noProof/>
            <w:webHidden/>
          </w:rPr>
          <w:fldChar w:fldCharType="separate"/>
        </w:r>
        <w:r>
          <w:rPr>
            <w:noProof/>
            <w:webHidden/>
          </w:rPr>
          <w:t>15</w:t>
        </w:r>
        <w:r>
          <w:rPr>
            <w:noProof/>
            <w:webHidden/>
          </w:rPr>
          <w:fldChar w:fldCharType="end"/>
        </w:r>
      </w:hyperlink>
    </w:p>
    <w:p w14:paraId="4F1A5A96" w14:textId="098AF629" w:rsidR="00767B14" w:rsidRDefault="00767B14">
      <w:pPr>
        <w:pStyle w:val="TOC2"/>
        <w:rPr>
          <w:rFonts w:eastAsiaTheme="minorEastAsia"/>
          <w:b w:val="0"/>
          <w:bCs w:val="0"/>
          <w:noProof/>
          <w:sz w:val="24"/>
          <w:szCs w:val="24"/>
          <w:lang w:eastAsia="en-GB"/>
        </w:rPr>
      </w:pPr>
      <w:hyperlink w:anchor="_Toc49253240" w:history="1">
        <w:r w:rsidRPr="00E73DA9">
          <w:rPr>
            <w:rStyle w:val="Hyperlink"/>
            <w:noProof/>
          </w:rPr>
          <w:t>What should be assessed?</w:t>
        </w:r>
        <w:r>
          <w:rPr>
            <w:noProof/>
            <w:webHidden/>
          </w:rPr>
          <w:tab/>
        </w:r>
        <w:r>
          <w:rPr>
            <w:noProof/>
            <w:webHidden/>
          </w:rPr>
          <w:fldChar w:fldCharType="begin"/>
        </w:r>
        <w:r>
          <w:rPr>
            <w:noProof/>
            <w:webHidden/>
          </w:rPr>
          <w:instrText xml:space="preserve"> PAGEREF _Toc49253240 \h </w:instrText>
        </w:r>
        <w:r>
          <w:rPr>
            <w:noProof/>
            <w:webHidden/>
          </w:rPr>
        </w:r>
        <w:r>
          <w:rPr>
            <w:noProof/>
            <w:webHidden/>
          </w:rPr>
          <w:fldChar w:fldCharType="separate"/>
        </w:r>
        <w:r>
          <w:rPr>
            <w:noProof/>
            <w:webHidden/>
          </w:rPr>
          <w:t>17</w:t>
        </w:r>
        <w:r>
          <w:rPr>
            <w:noProof/>
            <w:webHidden/>
          </w:rPr>
          <w:fldChar w:fldCharType="end"/>
        </w:r>
      </w:hyperlink>
    </w:p>
    <w:p w14:paraId="41120D73" w14:textId="00046E1E" w:rsidR="00767B14" w:rsidRDefault="00767B14">
      <w:pPr>
        <w:pStyle w:val="TOC2"/>
        <w:rPr>
          <w:rFonts w:eastAsiaTheme="minorEastAsia"/>
          <w:b w:val="0"/>
          <w:bCs w:val="0"/>
          <w:noProof/>
          <w:sz w:val="24"/>
          <w:szCs w:val="24"/>
          <w:lang w:eastAsia="en-GB"/>
        </w:rPr>
      </w:pPr>
      <w:hyperlink w:anchor="_Toc49253241" w:history="1">
        <w:r w:rsidRPr="00E73DA9">
          <w:rPr>
            <w:rStyle w:val="Hyperlink"/>
            <w:noProof/>
          </w:rPr>
          <w:t>Criminal history and risk assessment</w:t>
        </w:r>
        <w:r>
          <w:rPr>
            <w:noProof/>
            <w:webHidden/>
          </w:rPr>
          <w:tab/>
        </w:r>
        <w:r>
          <w:rPr>
            <w:noProof/>
            <w:webHidden/>
          </w:rPr>
          <w:fldChar w:fldCharType="begin"/>
        </w:r>
        <w:r>
          <w:rPr>
            <w:noProof/>
            <w:webHidden/>
          </w:rPr>
          <w:instrText xml:space="preserve"> PAGEREF _Toc49253241 \h </w:instrText>
        </w:r>
        <w:r>
          <w:rPr>
            <w:noProof/>
            <w:webHidden/>
          </w:rPr>
        </w:r>
        <w:r>
          <w:rPr>
            <w:noProof/>
            <w:webHidden/>
          </w:rPr>
          <w:fldChar w:fldCharType="separate"/>
        </w:r>
        <w:r>
          <w:rPr>
            <w:noProof/>
            <w:webHidden/>
          </w:rPr>
          <w:t>17</w:t>
        </w:r>
        <w:r>
          <w:rPr>
            <w:noProof/>
            <w:webHidden/>
          </w:rPr>
          <w:fldChar w:fldCharType="end"/>
        </w:r>
      </w:hyperlink>
    </w:p>
    <w:p w14:paraId="6C9AD043" w14:textId="71AC5738" w:rsidR="00767B14" w:rsidRDefault="00767B14">
      <w:pPr>
        <w:pStyle w:val="TOC4"/>
        <w:tabs>
          <w:tab w:val="right" w:leader="dot" w:pos="9736"/>
        </w:tabs>
        <w:rPr>
          <w:rFonts w:eastAsiaTheme="minorEastAsia"/>
          <w:noProof/>
          <w:sz w:val="24"/>
          <w:lang w:eastAsia="en-GB"/>
        </w:rPr>
      </w:pPr>
      <w:hyperlink w:anchor="_Toc49253242" w:history="1">
        <w:r w:rsidRPr="00E73DA9">
          <w:rPr>
            <w:rStyle w:val="Hyperlink"/>
            <w:rFonts w:cstheme="minorHAnsi"/>
            <w:noProof/>
          </w:rPr>
          <w:t>Design and implementation considerations</w:t>
        </w:r>
        <w:r>
          <w:rPr>
            <w:noProof/>
            <w:webHidden/>
          </w:rPr>
          <w:tab/>
        </w:r>
        <w:r>
          <w:rPr>
            <w:noProof/>
            <w:webHidden/>
          </w:rPr>
          <w:fldChar w:fldCharType="begin"/>
        </w:r>
        <w:r>
          <w:rPr>
            <w:noProof/>
            <w:webHidden/>
          </w:rPr>
          <w:instrText xml:space="preserve"> PAGEREF _Toc49253242 \h </w:instrText>
        </w:r>
        <w:r>
          <w:rPr>
            <w:noProof/>
            <w:webHidden/>
          </w:rPr>
        </w:r>
        <w:r>
          <w:rPr>
            <w:noProof/>
            <w:webHidden/>
          </w:rPr>
          <w:fldChar w:fldCharType="separate"/>
        </w:r>
        <w:r>
          <w:rPr>
            <w:noProof/>
            <w:webHidden/>
          </w:rPr>
          <w:t>20</w:t>
        </w:r>
        <w:r>
          <w:rPr>
            <w:noProof/>
            <w:webHidden/>
          </w:rPr>
          <w:fldChar w:fldCharType="end"/>
        </w:r>
      </w:hyperlink>
    </w:p>
    <w:p w14:paraId="0A34923B" w14:textId="110999A6" w:rsidR="00767B14" w:rsidRDefault="00767B14">
      <w:pPr>
        <w:pStyle w:val="TOC2"/>
        <w:rPr>
          <w:rFonts w:eastAsiaTheme="minorEastAsia"/>
          <w:b w:val="0"/>
          <w:bCs w:val="0"/>
          <w:noProof/>
          <w:sz w:val="24"/>
          <w:szCs w:val="24"/>
          <w:lang w:eastAsia="en-GB"/>
        </w:rPr>
      </w:pPr>
      <w:hyperlink w:anchor="_Toc49253243" w:history="1">
        <w:r w:rsidRPr="00E73DA9">
          <w:rPr>
            <w:rStyle w:val="Hyperlink"/>
            <w:noProof/>
          </w:rPr>
          <w:t>Code of conduct</w:t>
        </w:r>
        <w:r>
          <w:rPr>
            <w:noProof/>
            <w:webHidden/>
          </w:rPr>
          <w:tab/>
        </w:r>
        <w:r>
          <w:rPr>
            <w:noProof/>
            <w:webHidden/>
          </w:rPr>
          <w:fldChar w:fldCharType="begin"/>
        </w:r>
        <w:r>
          <w:rPr>
            <w:noProof/>
            <w:webHidden/>
          </w:rPr>
          <w:instrText xml:space="preserve"> PAGEREF _Toc49253243 \h </w:instrText>
        </w:r>
        <w:r>
          <w:rPr>
            <w:noProof/>
            <w:webHidden/>
          </w:rPr>
        </w:r>
        <w:r>
          <w:rPr>
            <w:noProof/>
            <w:webHidden/>
          </w:rPr>
          <w:fldChar w:fldCharType="separate"/>
        </w:r>
        <w:r>
          <w:rPr>
            <w:noProof/>
            <w:webHidden/>
          </w:rPr>
          <w:t>21</w:t>
        </w:r>
        <w:r>
          <w:rPr>
            <w:noProof/>
            <w:webHidden/>
          </w:rPr>
          <w:fldChar w:fldCharType="end"/>
        </w:r>
      </w:hyperlink>
    </w:p>
    <w:p w14:paraId="1DDA8687" w14:textId="3C144B4F" w:rsidR="00767B14" w:rsidRDefault="00767B14">
      <w:pPr>
        <w:pStyle w:val="TOC4"/>
        <w:tabs>
          <w:tab w:val="right" w:leader="dot" w:pos="9736"/>
        </w:tabs>
        <w:rPr>
          <w:rFonts w:eastAsiaTheme="minorEastAsia"/>
          <w:noProof/>
          <w:sz w:val="24"/>
          <w:lang w:eastAsia="en-GB"/>
        </w:rPr>
      </w:pPr>
      <w:hyperlink w:anchor="_Toc49253244" w:history="1">
        <w:r w:rsidRPr="00E73DA9">
          <w:rPr>
            <w:rStyle w:val="Hyperlink"/>
            <w:rFonts w:cstheme="minorHAnsi"/>
            <w:noProof/>
          </w:rPr>
          <w:t>Aged care code of conduct</w:t>
        </w:r>
        <w:r>
          <w:rPr>
            <w:noProof/>
            <w:webHidden/>
          </w:rPr>
          <w:tab/>
        </w:r>
        <w:r>
          <w:rPr>
            <w:noProof/>
            <w:webHidden/>
          </w:rPr>
          <w:fldChar w:fldCharType="begin"/>
        </w:r>
        <w:r>
          <w:rPr>
            <w:noProof/>
            <w:webHidden/>
          </w:rPr>
          <w:instrText xml:space="preserve"> PAGEREF _Toc49253244 \h </w:instrText>
        </w:r>
        <w:r>
          <w:rPr>
            <w:noProof/>
            <w:webHidden/>
          </w:rPr>
        </w:r>
        <w:r>
          <w:rPr>
            <w:noProof/>
            <w:webHidden/>
          </w:rPr>
          <w:fldChar w:fldCharType="separate"/>
        </w:r>
        <w:r>
          <w:rPr>
            <w:noProof/>
            <w:webHidden/>
          </w:rPr>
          <w:t>21</w:t>
        </w:r>
        <w:r>
          <w:rPr>
            <w:noProof/>
            <w:webHidden/>
          </w:rPr>
          <w:fldChar w:fldCharType="end"/>
        </w:r>
      </w:hyperlink>
    </w:p>
    <w:p w14:paraId="63679925" w14:textId="0668DD79" w:rsidR="00767B14" w:rsidRDefault="00767B14">
      <w:pPr>
        <w:pStyle w:val="TOC4"/>
        <w:tabs>
          <w:tab w:val="right" w:leader="dot" w:pos="9736"/>
        </w:tabs>
        <w:rPr>
          <w:rFonts w:eastAsiaTheme="minorEastAsia"/>
          <w:noProof/>
          <w:sz w:val="24"/>
          <w:lang w:eastAsia="en-GB"/>
        </w:rPr>
      </w:pPr>
      <w:hyperlink w:anchor="_Toc49253245" w:history="1">
        <w:r w:rsidRPr="00E73DA9">
          <w:rPr>
            <w:rStyle w:val="Hyperlink"/>
            <w:rFonts w:cstheme="minorHAnsi"/>
            <w:noProof/>
          </w:rPr>
          <w:t>NDIS Code</w:t>
        </w:r>
        <w:r>
          <w:rPr>
            <w:noProof/>
            <w:webHidden/>
          </w:rPr>
          <w:tab/>
        </w:r>
        <w:r>
          <w:rPr>
            <w:noProof/>
            <w:webHidden/>
          </w:rPr>
          <w:fldChar w:fldCharType="begin"/>
        </w:r>
        <w:r>
          <w:rPr>
            <w:noProof/>
            <w:webHidden/>
          </w:rPr>
          <w:instrText xml:space="preserve"> PAGEREF _Toc49253245 \h </w:instrText>
        </w:r>
        <w:r>
          <w:rPr>
            <w:noProof/>
            <w:webHidden/>
          </w:rPr>
        </w:r>
        <w:r>
          <w:rPr>
            <w:noProof/>
            <w:webHidden/>
          </w:rPr>
          <w:fldChar w:fldCharType="separate"/>
        </w:r>
        <w:r>
          <w:rPr>
            <w:noProof/>
            <w:webHidden/>
          </w:rPr>
          <w:t>23</w:t>
        </w:r>
        <w:r>
          <w:rPr>
            <w:noProof/>
            <w:webHidden/>
          </w:rPr>
          <w:fldChar w:fldCharType="end"/>
        </w:r>
      </w:hyperlink>
    </w:p>
    <w:p w14:paraId="186B11D0" w14:textId="678D0612" w:rsidR="00767B14" w:rsidRDefault="00767B14">
      <w:pPr>
        <w:pStyle w:val="TOC4"/>
        <w:tabs>
          <w:tab w:val="right" w:leader="dot" w:pos="9736"/>
        </w:tabs>
        <w:rPr>
          <w:rFonts w:eastAsiaTheme="minorEastAsia"/>
          <w:noProof/>
          <w:sz w:val="24"/>
          <w:lang w:eastAsia="en-GB"/>
        </w:rPr>
      </w:pPr>
      <w:hyperlink w:anchor="_Toc49253246" w:history="1">
        <w:r w:rsidRPr="00E73DA9">
          <w:rPr>
            <w:rStyle w:val="Hyperlink"/>
            <w:rFonts w:cstheme="minorHAnsi"/>
            <w:noProof/>
          </w:rPr>
          <w:t>National Code</w:t>
        </w:r>
        <w:r>
          <w:rPr>
            <w:noProof/>
            <w:webHidden/>
          </w:rPr>
          <w:tab/>
        </w:r>
        <w:r>
          <w:rPr>
            <w:noProof/>
            <w:webHidden/>
          </w:rPr>
          <w:fldChar w:fldCharType="begin"/>
        </w:r>
        <w:r>
          <w:rPr>
            <w:noProof/>
            <w:webHidden/>
          </w:rPr>
          <w:instrText xml:space="preserve"> PAGEREF _Toc49253246 \h </w:instrText>
        </w:r>
        <w:r>
          <w:rPr>
            <w:noProof/>
            <w:webHidden/>
          </w:rPr>
        </w:r>
        <w:r>
          <w:rPr>
            <w:noProof/>
            <w:webHidden/>
          </w:rPr>
          <w:fldChar w:fldCharType="separate"/>
        </w:r>
        <w:r>
          <w:rPr>
            <w:noProof/>
            <w:webHidden/>
          </w:rPr>
          <w:t>23</w:t>
        </w:r>
        <w:r>
          <w:rPr>
            <w:noProof/>
            <w:webHidden/>
          </w:rPr>
          <w:fldChar w:fldCharType="end"/>
        </w:r>
      </w:hyperlink>
    </w:p>
    <w:p w14:paraId="5E970538" w14:textId="377DF36C" w:rsidR="00767B14" w:rsidRDefault="00767B14">
      <w:pPr>
        <w:pStyle w:val="TOC4"/>
        <w:tabs>
          <w:tab w:val="right" w:leader="dot" w:pos="9736"/>
        </w:tabs>
        <w:rPr>
          <w:rFonts w:eastAsiaTheme="minorEastAsia"/>
          <w:noProof/>
          <w:sz w:val="24"/>
          <w:lang w:eastAsia="en-GB"/>
        </w:rPr>
      </w:pPr>
      <w:hyperlink w:anchor="_Toc49253247" w:history="1">
        <w:r w:rsidRPr="00E73DA9">
          <w:rPr>
            <w:rStyle w:val="Hyperlink"/>
            <w:rFonts w:cstheme="minorHAnsi"/>
            <w:noProof/>
          </w:rPr>
          <w:t>Design and implementation considerations</w:t>
        </w:r>
        <w:r>
          <w:rPr>
            <w:noProof/>
            <w:webHidden/>
          </w:rPr>
          <w:tab/>
        </w:r>
        <w:r>
          <w:rPr>
            <w:noProof/>
            <w:webHidden/>
          </w:rPr>
          <w:fldChar w:fldCharType="begin"/>
        </w:r>
        <w:r>
          <w:rPr>
            <w:noProof/>
            <w:webHidden/>
          </w:rPr>
          <w:instrText xml:space="preserve"> PAGEREF _Toc49253247 \h </w:instrText>
        </w:r>
        <w:r>
          <w:rPr>
            <w:noProof/>
            <w:webHidden/>
          </w:rPr>
        </w:r>
        <w:r>
          <w:rPr>
            <w:noProof/>
            <w:webHidden/>
          </w:rPr>
          <w:fldChar w:fldCharType="separate"/>
        </w:r>
        <w:r>
          <w:rPr>
            <w:noProof/>
            <w:webHidden/>
          </w:rPr>
          <w:t>24</w:t>
        </w:r>
        <w:r>
          <w:rPr>
            <w:noProof/>
            <w:webHidden/>
          </w:rPr>
          <w:fldChar w:fldCharType="end"/>
        </w:r>
      </w:hyperlink>
    </w:p>
    <w:p w14:paraId="62B01912" w14:textId="2E228F4B" w:rsidR="00767B14" w:rsidRDefault="00767B14">
      <w:pPr>
        <w:pStyle w:val="TOC2"/>
        <w:rPr>
          <w:rFonts w:eastAsiaTheme="minorEastAsia"/>
          <w:b w:val="0"/>
          <w:bCs w:val="0"/>
          <w:noProof/>
          <w:sz w:val="24"/>
          <w:szCs w:val="24"/>
          <w:lang w:eastAsia="en-GB"/>
        </w:rPr>
      </w:pPr>
      <w:hyperlink w:anchor="_Toc49253248" w:history="1">
        <w:r w:rsidRPr="00E73DA9">
          <w:rPr>
            <w:rStyle w:val="Hyperlink"/>
            <w:noProof/>
          </w:rPr>
          <w:t>Mutual recognition</w:t>
        </w:r>
        <w:r>
          <w:rPr>
            <w:noProof/>
            <w:webHidden/>
          </w:rPr>
          <w:tab/>
        </w:r>
        <w:r>
          <w:rPr>
            <w:noProof/>
            <w:webHidden/>
          </w:rPr>
          <w:fldChar w:fldCharType="begin"/>
        </w:r>
        <w:r>
          <w:rPr>
            <w:noProof/>
            <w:webHidden/>
          </w:rPr>
          <w:instrText xml:space="preserve"> PAGEREF _Toc49253248 \h </w:instrText>
        </w:r>
        <w:r>
          <w:rPr>
            <w:noProof/>
            <w:webHidden/>
          </w:rPr>
        </w:r>
        <w:r>
          <w:rPr>
            <w:noProof/>
            <w:webHidden/>
          </w:rPr>
          <w:fldChar w:fldCharType="separate"/>
        </w:r>
        <w:r>
          <w:rPr>
            <w:noProof/>
            <w:webHidden/>
          </w:rPr>
          <w:t>26</w:t>
        </w:r>
        <w:r>
          <w:rPr>
            <w:noProof/>
            <w:webHidden/>
          </w:rPr>
          <w:fldChar w:fldCharType="end"/>
        </w:r>
      </w:hyperlink>
    </w:p>
    <w:p w14:paraId="18BEBEAE" w14:textId="03BFAE2D" w:rsidR="00767B14" w:rsidRDefault="00767B14">
      <w:pPr>
        <w:pStyle w:val="TOC2"/>
        <w:rPr>
          <w:rFonts w:eastAsiaTheme="minorEastAsia"/>
          <w:b w:val="0"/>
          <w:bCs w:val="0"/>
          <w:noProof/>
          <w:sz w:val="24"/>
          <w:szCs w:val="24"/>
          <w:lang w:eastAsia="en-GB"/>
        </w:rPr>
      </w:pPr>
      <w:hyperlink w:anchor="_Toc49253249" w:history="1">
        <w:r w:rsidRPr="00E73DA9">
          <w:rPr>
            <w:rStyle w:val="Hyperlink"/>
            <w:noProof/>
          </w:rPr>
          <w:t>Who should assess suitability?</w:t>
        </w:r>
        <w:r>
          <w:rPr>
            <w:noProof/>
            <w:webHidden/>
          </w:rPr>
          <w:tab/>
        </w:r>
        <w:r>
          <w:rPr>
            <w:noProof/>
            <w:webHidden/>
          </w:rPr>
          <w:fldChar w:fldCharType="begin"/>
        </w:r>
        <w:r>
          <w:rPr>
            <w:noProof/>
            <w:webHidden/>
          </w:rPr>
          <w:instrText xml:space="preserve"> PAGEREF _Toc49253249 \h </w:instrText>
        </w:r>
        <w:r>
          <w:rPr>
            <w:noProof/>
            <w:webHidden/>
          </w:rPr>
        </w:r>
        <w:r>
          <w:rPr>
            <w:noProof/>
            <w:webHidden/>
          </w:rPr>
          <w:fldChar w:fldCharType="separate"/>
        </w:r>
        <w:r>
          <w:rPr>
            <w:noProof/>
            <w:webHidden/>
          </w:rPr>
          <w:t>27</w:t>
        </w:r>
        <w:r>
          <w:rPr>
            <w:noProof/>
            <w:webHidden/>
          </w:rPr>
          <w:fldChar w:fldCharType="end"/>
        </w:r>
      </w:hyperlink>
    </w:p>
    <w:p w14:paraId="68A5C557" w14:textId="7FFF6C8B" w:rsidR="00767B14" w:rsidRDefault="00767B14">
      <w:pPr>
        <w:pStyle w:val="TOC2"/>
        <w:rPr>
          <w:rFonts w:eastAsiaTheme="minorEastAsia"/>
          <w:b w:val="0"/>
          <w:bCs w:val="0"/>
          <w:noProof/>
          <w:sz w:val="24"/>
          <w:szCs w:val="24"/>
          <w:lang w:eastAsia="en-GB"/>
        </w:rPr>
      </w:pPr>
      <w:hyperlink w:anchor="_Toc49253250" w:history="1">
        <w:r w:rsidRPr="00E73DA9">
          <w:rPr>
            <w:rStyle w:val="Hyperlink"/>
            <w:noProof/>
          </w:rPr>
          <w:t>What should be included in a register?</w:t>
        </w:r>
        <w:r>
          <w:rPr>
            <w:noProof/>
            <w:webHidden/>
          </w:rPr>
          <w:tab/>
        </w:r>
        <w:r>
          <w:rPr>
            <w:noProof/>
            <w:webHidden/>
          </w:rPr>
          <w:fldChar w:fldCharType="begin"/>
        </w:r>
        <w:r>
          <w:rPr>
            <w:noProof/>
            <w:webHidden/>
          </w:rPr>
          <w:instrText xml:space="preserve"> PAGEREF _Toc49253250 \h </w:instrText>
        </w:r>
        <w:r>
          <w:rPr>
            <w:noProof/>
            <w:webHidden/>
          </w:rPr>
        </w:r>
        <w:r>
          <w:rPr>
            <w:noProof/>
            <w:webHidden/>
          </w:rPr>
          <w:fldChar w:fldCharType="separate"/>
        </w:r>
        <w:r>
          <w:rPr>
            <w:noProof/>
            <w:webHidden/>
          </w:rPr>
          <w:t>30</w:t>
        </w:r>
        <w:r>
          <w:rPr>
            <w:noProof/>
            <w:webHidden/>
          </w:rPr>
          <w:fldChar w:fldCharType="end"/>
        </w:r>
      </w:hyperlink>
    </w:p>
    <w:p w14:paraId="3A909A49" w14:textId="27DC82EF" w:rsidR="00767B14" w:rsidRDefault="00767B14">
      <w:pPr>
        <w:pStyle w:val="TOC2"/>
        <w:rPr>
          <w:rFonts w:eastAsiaTheme="minorEastAsia"/>
          <w:b w:val="0"/>
          <w:bCs w:val="0"/>
          <w:noProof/>
          <w:sz w:val="24"/>
          <w:szCs w:val="24"/>
          <w:lang w:eastAsia="en-GB"/>
        </w:rPr>
      </w:pPr>
      <w:hyperlink w:anchor="_Toc49253251" w:history="1">
        <w:r w:rsidRPr="00E73DA9">
          <w:rPr>
            <w:rStyle w:val="Hyperlink"/>
            <w:noProof/>
          </w:rPr>
          <w:t>Next steps/implementation</w:t>
        </w:r>
        <w:r>
          <w:rPr>
            <w:noProof/>
            <w:webHidden/>
          </w:rPr>
          <w:tab/>
        </w:r>
        <w:r>
          <w:rPr>
            <w:noProof/>
            <w:webHidden/>
          </w:rPr>
          <w:fldChar w:fldCharType="begin"/>
        </w:r>
        <w:r>
          <w:rPr>
            <w:noProof/>
            <w:webHidden/>
          </w:rPr>
          <w:instrText xml:space="preserve"> PAGEREF _Toc49253251 \h </w:instrText>
        </w:r>
        <w:r>
          <w:rPr>
            <w:noProof/>
            <w:webHidden/>
          </w:rPr>
        </w:r>
        <w:r>
          <w:rPr>
            <w:noProof/>
            <w:webHidden/>
          </w:rPr>
          <w:fldChar w:fldCharType="separate"/>
        </w:r>
        <w:r>
          <w:rPr>
            <w:noProof/>
            <w:webHidden/>
          </w:rPr>
          <w:t>31</w:t>
        </w:r>
        <w:r>
          <w:rPr>
            <w:noProof/>
            <w:webHidden/>
          </w:rPr>
          <w:fldChar w:fldCharType="end"/>
        </w:r>
      </w:hyperlink>
    </w:p>
    <w:p w14:paraId="587BA9C6" w14:textId="68BB87A2" w:rsidR="00767B14" w:rsidRDefault="00767B14">
      <w:pPr>
        <w:pStyle w:val="TOC1"/>
        <w:tabs>
          <w:tab w:val="right" w:leader="dot" w:pos="9736"/>
        </w:tabs>
        <w:rPr>
          <w:rFonts w:eastAsiaTheme="minorEastAsia"/>
          <w:b w:val="0"/>
          <w:bCs w:val="0"/>
          <w:noProof/>
          <w:lang w:eastAsia="en-GB"/>
        </w:rPr>
      </w:pPr>
      <w:hyperlink w:anchor="_Toc49253252" w:history="1">
        <w:r w:rsidRPr="00E73DA9">
          <w:rPr>
            <w:rStyle w:val="Hyperlink"/>
            <w:noProof/>
          </w:rPr>
          <w:t>Chapter 5 – Registration scheme for PCWs</w:t>
        </w:r>
        <w:r>
          <w:rPr>
            <w:noProof/>
            <w:webHidden/>
          </w:rPr>
          <w:tab/>
        </w:r>
        <w:r>
          <w:rPr>
            <w:noProof/>
            <w:webHidden/>
          </w:rPr>
          <w:fldChar w:fldCharType="begin"/>
        </w:r>
        <w:r>
          <w:rPr>
            <w:noProof/>
            <w:webHidden/>
          </w:rPr>
          <w:instrText xml:space="preserve"> PAGEREF _Toc49253252 \h </w:instrText>
        </w:r>
        <w:r>
          <w:rPr>
            <w:noProof/>
            <w:webHidden/>
          </w:rPr>
        </w:r>
        <w:r>
          <w:rPr>
            <w:noProof/>
            <w:webHidden/>
          </w:rPr>
          <w:fldChar w:fldCharType="separate"/>
        </w:r>
        <w:r>
          <w:rPr>
            <w:noProof/>
            <w:webHidden/>
          </w:rPr>
          <w:t>32</w:t>
        </w:r>
        <w:r>
          <w:rPr>
            <w:noProof/>
            <w:webHidden/>
          </w:rPr>
          <w:fldChar w:fldCharType="end"/>
        </w:r>
      </w:hyperlink>
    </w:p>
    <w:p w14:paraId="1B2D072B" w14:textId="2F68123B" w:rsidR="00767B14" w:rsidRDefault="00767B14">
      <w:pPr>
        <w:pStyle w:val="TOC2"/>
        <w:rPr>
          <w:rFonts w:eastAsiaTheme="minorEastAsia"/>
          <w:b w:val="0"/>
          <w:bCs w:val="0"/>
          <w:noProof/>
          <w:sz w:val="24"/>
          <w:szCs w:val="24"/>
          <w:lang w:eastAsia="en-GB"/>
        </w:rPr>
      </w:pPr>
      <w:hyperlink w:anchor="_Toc49253253" w:history="1">
        <w:r w:rsidRPr="00E73DA9">
          <w:rPr>
            <w:rStyle w:val="Hyperlink"/>
            <w:noProof/>
          </w:rPr>
          <w:t>Who should a registration scheme apply to?</w:t>
        </w:r>
        <w:r>
          <w:rPr>
            <w:noProof/>
            <w:webHidden/>
          </w:rPr>
          <w:tab/>
        </w:r>
        <w:r>
          <w:rPr>
            <w:noProof/>
            <w:webHidden/>
          </w:rPr>
          <w:fldChar w:fldCharType="begin"/>
        </w:r>
        <w:r>
          <w:rPr>
            <w:noProof/>
            <w:webHidden/>
          </w:rPr>
          <w:instrText xml:space="preserve"> PAGEREF _Toc49253253 \h </w:instrText>
        </w:r>
        <w:r>
          <w:rPr>
            <w:noProof/>
            <w:webHidden/>
          </w:rPr>
        </w:r>
        <w:r>
          <w:rPr>
            <w:noProof/>
            <w:webHidden/>
          </w:rPr>
          <w:fldChar w:fldCharType="separate"/>
        </w:r>
        <w:r>
          <w:rPr>
            <w:noProof/>
            <w:webHidden/>
          </w:rPr>
          <w:t>33</w:t>
        </w:r>
        <w:r>
          <w:rPr>
            <w:noProof/>
            <w:webHidden/>
          </w:rPr>
          <w:fldChar w:fldCharType="end"/>
        </w:r>
      </w:hyperlink>
    </w:p>
    <w:p w14:paraId="2978C83A" w14:textId="1653D063" w:rsidR="00767B14" w:rsidRDefault="00767B14">
      <w:pPr>
        <w:pStyle w:val="TOC2"/>
        <w:rPr>
          <w:rFonts w:eastAsiaTheme="minorEastAsia"/>
          <w:b w:val="0"/>
          <w:bCs w:val="0"/>
          <w:noProof/>
          <w:sz w:val="24"/>
          <w:szCs w:val="24"/>
          <w:lang w:eastAsia="en-GB"/>
        </w:rPr>
      </w:pPr>
      <w:hyperlink w:anchor="_Toc49253254" w:history="1">
        <w:r w:rsidRPr="00E73DA9">
          <w:rPr>
            <w:rStyle w:val="Hyperlink"/>
            <w:noProof/>
          </w:rPr>
          <w:t>English proficiency</w:t>
        </w:r>
        <w:r>
          <w:rPr>
            <w:noProof/>
            <w:webHidden/>
          </w:rPr>
          <w:tab/>
        </w:r>
        <w:r>
          <w:rPr>
            <w:noProof/>
            <w:webHidden/>
          </w:rPr>
          <w:fldChar w:fldCharType="begin"/>
        </w:r>
        <w:r>
          <w:rPr>
            <w:noProof/>
            <w:webHidden/>
          </w:rPr>
          <w:instrText xml:space="preserve"> PAGEREF _Toc49253254 \h </w:instrText>
        </w:r>
        <w:r>
          <w:rPr>
            <w:noProof/>
            <w:webHidden/>
          </w:rPr>
        </w:r>
        <w:r>
          <w:rPr>
            <w:noProof/>
            <w:webHidden/>
          </w:rPr>
          <w:fldChar w:fldCharType="separate"/>
        </w:r>
        <w:r>
          <w:rPr>
            <w:noProof/>
            <w:webHidden/>
          </w:rPr>
          <w:t>34</w:t>
        </w:r>
        <w:r>
          <w:rPr>
            <w:noProof/>
            <w:webHidden/>
          </w:rPr>
          <w:fldChar w:fldCharType="end"/>
        </w:r>
      </w:hyperlink>
    </w:p>
    <w:p w14:paraId="19A6171D" w14:textId="3200B90E" w:rsidR="00767B14" w:rsidRDefault="00767B14">
      <w:pPr>
        <w:pStyle w:val="TOC2"/>
        <w:rPr>
          <w:rFonts w:eastAsiaTheme="minorEastAsia"/>
          <w:b w:val="0"/>
          <w:bCs w:val="0"/>
          <w:noProof/>
          <w:sz w:val="24"/>
          <w:szCs w:val="24"/>
          <w:lang w:eastAsia="en-GB"/>
        </w:rPr>
      </w:pPr>
      <w:hyperlink w:anchor="_Toc49253255" w:history="1">
        <w:r w:rsidRPr="00E73DA9">
          <w:rPr>
            <w:rStyle w:val="Hyperlink"/>
            <w:noProof/>
          </w:rPr>
          <w:t>Minimum qualifications and competencies</w:t>
        </w:r>
        <w:r>
          <w:rPr>
            <w:noProof/>
            <w:webHidden/>
          </w:rPr>
          <w:tab/>
        </w:r>
        <w:r>
          <w:rPr>
            <w:noProof/>
            <w:webHidden/>
          </w:rPr>
          <w:fldChar w:fldCharType="begin"/>
        </w:r>
        <w:r>
          <w:rPr>
            <w:noProof/>
            <w:webHidden/>
          </w:rPr>
          <w:instrText xml:space="preserve"> PAGEREF _Toc49253255 \h </w:instrText>
        </w:r>
        <w:r>
          <w:rPr>
            <w:noProof/>
            <w:webHidden/>
          </w:rPr>
        </w:r>
        <w:r>
          <w:rPr>
            <w:noProof/>
            <w:webHidden/>
          </w:rPr>
          <w:fldChar w:fldCharType="separate"/>
        </w:r>
        <w:r>
          <w:rPr>
            <w:noProof/>
            <w:webHidden/>
          </w:rPr>
          <w:t>36</w:t>
        </w:r>
        <w:r>
          <w:rPr>
            <w:noProof/>
            <w:webHidden/>
          </w:rPr>
          <w:fldChar w:fldCharType="end"/>
        </w:r>
      </w:hyperlink>
    </w:p>
    <w:p w14:paraId="13D1764D" w14:textId="45FC8ADD" w:rsidR="00767B14" w:rsidRDefault="00767B14">
      <w:pPr>
        <w:pStyle w:val="TOC2"/>
        <w:rPr>
          <w:rFonts w:eastAsiaTheme="minorEastAsia"/>
          <w:b w:val="0"/>
          <w:bCs w:val="0"/>
          <w:noProof/>
          <w:sz w:val="24"/>
          <w:szCs w:val="24"/>
          <w:lang w:eastAsia="en-GB"/>
        </w:rPr>
      </w:pPr>
      <w:hyperlink w:anchor="_Toc49253256" w:history="1">
        <w:r w:rsidRPr="00E73DA9">
          <w:rPr>
            <w:rStyle w:val="Hyperlink"/>
            <w:noProof/>
          </w:rPr>
          <w:t>Continuing professional development</w:t>
        </w:r>
        <w:r>
          <w:rPr>
            <w:noProof/>
            <w:webHidden/>
          </w:rPr>
          <w:tab/>
        </w:r>
        <w:r>
          <w:rPr>
            <w:noProof/>
            <w:webHidden/>
          </w:rPr>
          <w:fldChar w:fldCharType="begin"/>
        </w:r>
        <w:r>
          <w:rPr>
            <w:noProof/>
            <w:webHidden/>
          </w:rPr>
          <w:instrText xml:space="preserve"> PAGEREF _Toc49253256 \h </w:instrText>
        </w:r>
        <w:r>
          <w:rPr>
            <w:noProof/>
            <w:webHidden/>
          </w:rPr>
        </w:r>
        <w:r>
          <w:rPr>
            <w:noProof/>
            <w:webHidden/>
          </w:rPr>
          <w:fldChar w:fldCharType="separate"/>
        </w:r>
        <w:r>
          <w:rPr>
            <w:noProof/>
            <w:webHidden/>
          </w:rPr>
          <w:t>38</w:t>
        </w:r>
        <w:r>
          <w:rPr>
            <w:noProof/>
            <w:webHidden/>
          </w:rPr>
          <w:fldChar w:fldCharType="end"/>
        </w:r>
      </w:hyperlink>
    </w:p>
    <w:p w14:paraId="65B41561" w14:textId="16DBED55" w:rsidR="00767B14" w:rsidRDefault="00767B14">
      <w:pPr>
        <w:pStyle w:val="TOC2"/>
        <w:rPr>
          <w:rFonts w:eastAsiaTheme="minorEastAsia"/>
          <w:b w:val="0"/>
          <w:bCs w:val="0"/>
          <w:noProof/>
          <w:sz w:val="24"/>
          <w:szCs w:val="24"/>
          <w:lang w:eastAsia="en-GB"/>
        </w:rPr>
      </w:pPr>
      <w:hyperlink w:anchor="_Toc49253257" w:history="1">
        <w:r w:rsidRPr="00E73DA9">
          <w:rPr>
            <w:rStyle w:val="Hyperlink"/>
            <w:noProof/>
            <w:lang w:eastAsia="en-GB"/>
          </w:rPr>
          <w:t>Who should manage a registration scheme?</w:t>
        </w:r>
        <w:r>
          <w:rPr>
            <w:noProof/>
            <w:webHidden/>
          </w:rPr>
          <w:tab/>
        </w:r>
        <w:r>
          <w:rPr>
            <w:noProof/>
            <w:webHidden/>
          </w:rPr>
          <w:fldChar w:fldCharType="begin"/>
        </w:r>
        <w:r>
          <w:rPr>
            <w:noProof/>
            <w:webHidden/>
          </w:rPr>
          <w:instrText xml:space="preserve"> PAGEREF _Toc49253257 \h </w:instrText>
        </w:r>
        <w:r>
          <w:rPr>
            <w:noProof/>
            <w:webHidden/>
          </w:rPr>
        </w:r>
        <w:r>
          <w:rPr>
            <w:noProof/>
            <w:webHidden/>
          </w:rPr>
          <w:fldChar w:fldCharType="separate"/>
        </w:r>
        <w:r>
          <w:rPr>
            <w:noProof/>
            <w:webHidden/>
          </w:rPr>
          <w:t>39</w:t>
        </w:r>
        <w:r>
          <w:rPr>
            <w:noProof/>
            <w:webHidden/>
          </w:rPr>
          <w:fldChar w:fldCharType="end"/>
        </w:r>
      </w:hyperlink>
    </w:p>
    <w:p w14:paraId="48A506ED" w14:textId="24184BD1" w:rsidR="00767B14" w:rsidRDefault="00767B14">
      <w:pPr>
        <w:pStyle w:val="TOC2"/>
        <w:rPr>
          <w:rFonts w:eastAsiaTheme="minorEastAsia"/>
          <w:b w:val="0"/>
          <w:bCs w:val="0"/>
          <w:noProof/>
          <w:sz w:val="24"/>
          <w:szCs w:val="24"/>
          <w:lang w:eastAsia="en-GB"/>
        </w:rPr>
      </w:pPr>
      <w:hyperlink w:anchor="_Toc49253258" w:history="1">
        <w:r w:rsidRPr="00E73DA9">
          <w:rPr>
            <w:rStyle w:val="Hyperlink"/>
            <w:noProof/>
          </w:rPr>
          <w:t>Design and implementation considerations</w:t>
        </w:r>
        <w:r>
          <w:rPr>
            <w:noProof/>
            <w:webHidden/>
          </w:rPr>
          <w:tab/>
        </w:r>
        <w:r>
          <w:rPr>
            <w:noProof/>
            <w:webHidden/>
          </w:rPr>
          <w:fldChar w:fldCharType="begin"/>
        </w:r>
        <w:r>
          <w:rPr>
            <w:noProof/>
            <w:webHidden/>
          </w:rPr>
          <w:instrText xml:space="preserve"> PAGEREF _Toc49253258 \h </w:instrText>
        </w:r>
        <w:r>
          <w:rPr>
            <w:noProof/>
            <w:webHidden/>
          </w:rPr>
        </w:r>
        <w:r>
          <w:rPr>
            <w:noProof/>
            <w:webHidden/>
          </w:rPr>
          <w:fldChar w:fldCharType="separate"/>
        </w:r>
        <w:r>
          <w:rPr>
            <w:noProof/>
            <w:webHidden/>
          </w:rPr>
          <w:t>42</w:t>
        </w:r>
        <w:r>
          <w:rPr>
            <w:noProof/>
            <w:webHidden/>
          </w:rPr>
          <w:fldChar w:fldCharType="end"/>
        </w:r>
      </w:hyperlink>
    </w:p>
    <w:p w14:paraId="7E078005" w14:textId="2780C129" w:rsidR="00767B14" w:rsidRDefault="00767B14">
      <w:pPr>
        <w:pStyle w:val="TOC1"/>
        <w:tabs>
          <w:tab w:val="right" w:leader="dot" w:pos="9736"/>
        </w:tabs>
        <w:rPr>
          <w:rFonts w:eastAsiaTheme="minorEastAsia"/>
          <w:b w:val="0"/>
          <w:bCs w:val="0"/>
          <w:noProof/>
          <w:lang w:eastAsia="en-GB"/>
        </w:rPr>
      </w:pPr>
      <w:hyperlink w:anchor="_Toc49253259" w:history="1">
        <w:r w:rsidRPr="00E73DA9">
          <w:rPr>
            <w:rStyle w:val="Hyperlink"/>
            <w:noProof/>
          </w:rPr>
          <w:t>Chapter 6 – Preferred model for further consultation</w:t>
        </w:r>
        <w:r>
          <w:rPr>
            <w:noProof/>
            <w:webHidden/>
          </w:rPr>
          <w:tab/>
        </w:r>
        <w:r>
          <w:rPr>
            <w:noProof/>
            <w:webHidden/>
          </w:rPr>
          <w:fldChar w:fldCharType="begin"/>
        </w:r>
        <w:r>
          <w:rPr>
            <w:noProof/>
            <w:webHidden/>
          </w:rPr>
          <w:instrText xml:space="preserve"> PAGEREF _Toc49253259 \h </w:instrText>
        </w:r>
        <w:r>
          <w:rPr>
            <w:noProof/>
            <w:webHidden/>
          </w:rPr>
        </w:r>
        <w:r>
          <w:rPr>
            <w:noProof/>
            <w:webHidden/>
          </w:rPr>
          <w:fldChar w:fldCharType="separate"/>
        </w:r>
        <w:r>
          <w:rPr>
            <w:noProof/>
            <w:webHidden/>
          </w:rPr>
          <w:t>43</w:t>
        </w:r>
        <w:r>
          <w:rPr>
            <w:noProof/>
            <w:webHidden/>
          </w:rPr>
          <w:fldChar w:fldCharType="end"/>
        </w:r>
      </w:hyperlink>
    </w:p>
    <w:p w14:paraId="00C73C6D" w14:textId="08110C5A" w:rsidR="00767B14" w:rsidRDefault="00767B14">
      <w:pPr>
        <w:pStyle w:val="TOC2"/>
        <w:rPr>
          <w:rFonts w:eastAsiaTheme="minorEastAsia"/>
          <w:b w:val="0"/>
          <w:bCs w:val="0"/>
          <w:noProof/>
          <w:sz w:val="24"/>
          <w:szCs w:val="24"/>
          <w:lang w:eastAsia="en-GB"/>
        </w:rPr>
      </w:pPr>
      <w:hyperlink w:anchor="_Toc49253260" w:history="1">
        <w:r w:rsidRPr="00E73DA9">
          <w:rPr>
            <w:rStyle w:val="Hyperlink"/>
            <w:rFonts w:cstheme="minorHAnsi"/>
            <w:noProof/>
          </w:rPr>
          <w:t>Overview of preferred model</w:t>
        </w:r>
        <w:r>
          <w:rPr>
            <w:noProof/>
            <w:webHidden/>
          </w:rPr>
          <w:tab/>
        </w:r>
        <w:r>
          <w:rPr>
            <w:noProof/>
            <w:webHidden/>
          </w:rPr>
          <w:fldChar w:fldCharType="begin"/>
        </w:r>
        <w:r>
          <w:rPr>
            <w:noProof/>
            <w:webHidden/>
          </w:rPr>
          <w:instrText xml:space="preserve"> PAGEREF _Toc49253260 \h </w:instrText>
        </w:r>
        <w:r>
          <w:rPr>
            <w:noProof/>
            <w:webHidden/>
          </w:rPr>
        </w:r>
        <w:r>
          <w:rPr>
            <w:noProof/>
            <w:webHidden/>
          </w:rPr>
          <w:fldChar w:fldCharType="separate"/>
        </w:r>
        <w:r>
          <w:rPr>
            <w:noProof/>
            <w:webHidden/>
          </w:rPr>
          <w:t>43</w:t>
        </w:r>
        <w:r>
          <w:rPr>
            <w:noProof/>
            <w:webHidden/>
          </w:rPr>
          <w:fldChar w:fldCharType="end"/>
        </w:r>
      </w:hyperlink>
    </w:p>
    <w:p w14:paraId="7665D7C5" w14:textId="5D72FFF7" w:rsidR="00767B14" w:rsidRDefault="00767B14">
      <w:pPr>
        <w:pStyle w:val="TOC2"/>
        <w:rPr>
          <w:rFonts w:eastAsiaTheme="minorEastAsia"/>
          <w:b w:val="0"/>
          <w:bCs w:val="0"/>
          <w:noProof/>
          <w:sz w:val="24"/>
          <w:szCs w:val="24"/>
          <w:lang w:eastAsia="en-GB"/>
        </w:rPr>
      </w:pPr>
      <w:hyperlink w:anchor="_Toc49253261" w:history="1">
        <w:r w:rsidRPr="00E73DA9">
          <w:rPr>
            <w:rStyle w:val="Hyperlink"/>
            <w:rFonts w:cstheme="minorHAnsi"/>
            <w:noProof/>
          </w:rPr>
          <w:t>Key elements of the preferred model</w:t>
        </w:r>
        <w:r>
          <w:rPr>
            <w:noProof/>
            <w:webHidden/>
          </w:rPr>
          <w:tab/>
        </w:r>
        <w:r>
          <w:rPr>
            <w:noProof/>
            <w:webHidden/>
          </w:rPr>
          <w:fldChar w:fldCharType="begin"/>
        </w:r>
        <w:r>
          <w:rPr>
            <w:noProof/>
            <w:webHidden/>
          </w:rPr>
          <w:instrText xml:space="preserve"> PAGEREF _Toc49253261 \h </w:instrText>
        </w:r>
        <w:r>
          <w:rPr>
            <w:noProof/>
            <w:webHidden/>
          </w:rPr>
        </w:r>
        <w:r>
          <w:rPr>
            <w:noProof/>
            <w:webHidden/>
          </w:rPr>
          <w:fldChar w:fldCharType="separate"/>
        </w:r>
        <w:r>
          <w:rPr>
            <w:noProof/>
            <w:webHidden/>
          </w:rPr>
          <w:t>44</w:t>
        </w:r>
        <w:r>
          <w:rPr>
            <w:noProof/>
            <w:webHidden/>
          </w:rPr>
          <w:fldChar w:fldCharType="end"/>
        </w:r>
      </w:hyperlink>
    </w:p>
    <w:p w14:paraId="3C1386EC" w14:textId="3274FBAB" w:rsidR="00767B14" w:rsidRDefault="00767B14">
      <w:pPr>
        <w:pStyle w:val="TOC2"/>
        <w:rPr>
          <w:rFonts w:eastAsiaTheme="minorEastAsia"/>
          <w:b w:val="0"/>
          <w:bCs w:val="0"/>
          <w:noProof/>
          <w:sz w:val="24"/>
          <w:szCs w:val="24"/>
          <w:lang w:eastAsia="en-GB"/>
        </w:rPr>
      </w:pPr>
      <w:hyperlink w:anchor="_Toc49253262" w:history="1">
        <w:r w:rsidRPr="00E73DA9">
          <w:rPr>
            <w:rStyle w:val="Hyperlink"/>
            <w:rFonts w:cstheme="minorHAnsi"/>
            <w:noProof/>
          </w:rPr>
          <w:t>Design and implementation considerations</w:t>
        </w:r>
        <w:r>
          <w:rPr>
            <w:noProof/>
            <w:webHidden/>
          </w:rPr>
          <w:tab/>
        </w:r>
        <w:r>
          <w:rPr>
            <w:noProof/>
            <w:webHidden/>
          </w:rPr>
          <w:fldChar w:fldCharType="begin"/>
        </w:r>
        <w:r>
          <w:rPr>
            <w:noProof/>
            <w:webHidden/>
          </w:rPr>
          <w:instrText xml:space="preserve"> PAGEREF _Toc49253262 \h </w:instrText>
        </w:r>
        <w:r>
          <w:rPr>
            <w:noProof/>
            <w:webHidden/>
          </w:rPr>
        </w:r>
        <w:r>
          <w:rPr>
            <w:noProof/>
            <w:webHidden/>
          </w:rPr>
          <w:fldChar w:fldCharType="separate"/>
        </w:r>
        <w:r>
          <w:rPr>
            <w:noProof/>
            <w:webHidden/>
          </w:rPr>
          <w:t>45</w:t>
        </w:r>
        <w:r>
          <w:rPr>
            <w:noProof/>
            <w:webHidden/>
          </w:rPr>
          <w:fldChar w:fldCharType="end"/>
        </w:r>
      </w:hyperlink>
    </w:p>
    <w:p w14:paraId="542BCF65" w14:textId="298FB3F4" w:rsidR="00767B14" w:rsidRDefault="00767B14">
      <w:pPr>
        <w:pStyle w:val="TOC1"/>
        <w:tabs>
          <w:tab w:val="right" w:leader="dot" w:pos="9736"/>
        </w:tabs>
        <w:rPr>
          <w:rFonts w:eastAsiaTheme="minorEastAsia"/>
          <w:b w:val="0"/>
          <w:bCs w:val="0"/>
          <w:noProof/>
          <w:lang w:eastAsia="en-GB"/>
        </w:rPr>
      </w:pPr>
      <w:hyperlink w:anchor="_Toc49253263" w:history="1">
        <w:r w:rsidRPr="00E73DA9">
          <w:rPr>
            <w:rStyle w:val="Hyperlink"/>
            <w:noProof/>
          </w:rPr>
          <w:t>Attachment A: Profile of stakeholders responding to online consultation</w:t>
        </w:r>
        <w:r>
          <w:rPr>
            <w:noProof/>
            <w:webHidden/>
          </w:rPr>
          <w:tab/>
        </w:r>
        <w:r>
          <w:rPr>
            <w:noProof/>
            <w:webHidden/>
          </w:rPr>
          <w:fldChar w:fldCharType="begin"/>
        </w:r>
        <w:r>
          <w:rPr>
            <w:noProof/>
            <w:webHidden/>
          </w:rPr>
          <w:instrText xml:space="preserve"> PAGEREF _Toc49253263 \h </w:instrText>
        </w:r>
        <w:r>
          <w:rPr>
            <w:noProof/>
            <w:webHidden/>
          </w:rPr>
        </w:r>
        <w:r>
          <w:rPr>
            <w:noProof/>
            <w:webHidden/>
          </w:rPr>
          <w:fldChar w:fldCharType="separate"/>
        </w:r>
        <w:r>
          <w:rPr>
            <w:noProof/>
            <w:webHidden/>
          </w:rPr>
          <w:t>46</w:t>
        </w:r>
        <w:r>
          <w:rPr>
            <w:noProof/>
            <w:webHidden/>
          </w:rPr>
          <w:fldChar w:fldCharType="end"/>
        </w:r>
      </w:hyperlink>
    </w:p>
    <w:p w14:paraId="2FC0305B" w14:textId="46E5CD1C" w:rsidR="00767B14" w:rsidRDefault="00767B14">
      <w:pPr>
        <w:pStyle w:val="TOC1"/>
        <w:tabs>
          <w:tab w:val="right" w:leader="dot" w:pos="9736"/>
        </w:tabs>
        <w:rPr>
          <w:rFonts w:eastAsiaTheme="minorEastAsia"/>
          <w:b w:val="0"/>
          <w:bCs w:val="0"/>
          <w:noProof/>
          <w:lang w:eastAsia="en-GB"/>
        </w:rPr>
      </w:pPr>
      <w:hyperlink w:anchor="_Toc49253264" w:history="1">
        <w:r w:rsidRPr="00E73DA9">
          <w:rPr>
            <w:rStyle w:val="Hyperlink"/>
            <w:noProof/>
          </w:rPr>
          <w:t>Attachment B: Responses to key online consultation questions</w:t>
        </w:r>
        <w:r>
          <w:rPr>
            <w:noProof/>
            <w:webHidden/>
          </w:rPr>
          <w:tab/>
        </w:r>
        <w:r>
          <w:rPr>
            <w:noProof/>
            <w:webHidden/>
          </w:rPr>
          <w:fldChar w:fldCharType="begin"/>
        </w:r>
        <w:r>
          <w:rPr>
            <w:noProof/>
            <w:webHidden/>
          </w:rPr>
          <w:instrText xml:space="preserve"> PAGEREF _Toc49253264 \h </w:instrText>
        </w:r>
        <w:r>
          <w:rPr>
            <w:noProof/>
            <w:webHidden/>
          </w:rPr>
        </w:r>
        <w:r>
          <w:rPr>
            <w:noProof/>
            <w:webHidden/>
          </w:rPr>
          <w:fldChar w:fldCharType="separate"/>
        </w:r>
        <w:r>
          <w:rPr>
            <w:noProof/>
            <w:webHidden/>
          </w:rPr>
          <w:t>50</w:t>
        </w:r>
        <w:r>
          <w:rPr>
            <w:noProof/>
            <w:webHidden/>
          </w:rPr>
          <w:fldChar w:fldCharType="end"/>
        </w:r>
      </w:hyperlink>
    </w:p>
    <w:p w14:paraId="4AA38D74" w14:textId="7B0BE4A7" w:rsidR="00C41380" w:rsidRDefault="00515C47" w:rsidP="007C36E4">
      <w:pPr>
        <w:pStyle w:val="TOC9"/>
        <w:sectPr w:rsidR="00C41380" w:rsidSect="004C2914">
          <w:headerReference w:type="default" r:id="rId9"/>
          <w:footerReference w:type="default" r:id="rId10"/>
          <w:pgSz w:w="11900" w:h="16840"/>
          <w:pgMar w:top="1304" w:right="1077" w:bottom="1304" w:left="1077" w:header="709" w:footer="709" w:gutter="0"/>
          <w:cols w:space="708"/>
          <w:docGrid w:linePitch="360"/>
        </w:sectPr>
      </w:pPr>
      <w:r>
        <w:rPr>
          <w:b/>
          <w:bCs/>
          <w:sz w:val="24"/>
        </w:rPr>
        <w:fldChar w:fldCharType="end"/>
      </w:r>
    </w:p>
    <w:p w14:paraId="31510DB1" w14:textId="77777777" w:rsidR="005B0D31" w:rsidRPr="003E4598" w:rsidRDefault="005B0D31" w:rsidP="005B0D31">
      <w:pPr>
        <w:pStyle w:val="mpcheading1"/>
        <w:spacing w:after="0"/>
      </w:pPr>
      <w:bookmarkStart w:id="4" w:name="Executive_Summary"/>
      <w:bookmarkStart w:id="5" w:name="_Toc450649511"/>
      <w:bookmarkStart w:id="6" w:name="_Toc49253227"/>
      <w:bookmarkEnd w:id="3"/>
      <w:bookmarkEnd w:id="4"/>
      <w:r w:rsidRPr="003E4598">
        <w:lastRenderedPageBreak/>
        <w:t>Executive Summary</w:t>
      </w:r>
      <w:bookmarkEnd w:id="6"/>
    </w:p>
    <w:p w14:paraId="0D87012B" w14:textId="77777777" w:rsidR="005B0D31" w:rsidRDefault="005B0D31" w:rsidP="005B0D31">
      <w:pPr>
        <w:pStyle w:val="mpcNormal"/>
        <w:spacing w:after="0"/>
        <w:jc w:val="both"/>
        <w:rPr>
          <w:rFonts w:cstheme="minorHAnsi"/>
        </w:rPr>
      </w:pPr>
    </w:p>
    <w:p w14:paraId="12B3245B" w14:textId="400D8627" w:rsidR="00612DB5" w:rsidRPr="00DF1B32" w:rsidRDefault="0027040B" w:rsidP="00311B81">
      <w:pPr>
        <w:pStyle w:val="mpcNormal"/>
        <w:spacing w:after="0"/>
        <w:rPr>
          <w:rFonts w:cstheme="minorHAnsi"/>
        </w:rPr>
      </w:pPr>
      <w:r>
        <w:rPr>
          <w:rFonts w:cstheme="minorHAnsi"/>
        </w:rPr>
        <w:t xml:space="preserve">The quality of care delivered to consumers within </w:t>
      </w:r>
      <w:r w:rsidR="005B0D31">
        <w:rPr>
          <w:rFonts w:cstheme="minorHAnsi"/>
        </w:rPr>
        <w:t xml:space="preserve">aged care services </w:t>
      </w:r>
      <w:r w:rsidR="000F1ABA">
        <w:rPr>
          <w:rFonts w:cstheme="minorHAnsi"/>
        </w:rPr>
        <w:t>is</w:t>
      </w:r>
      <w:r w:rsidR="005B0D31">
        <w:rPr>
          <w:rFonts w:cstheme="minorHAnsi"/>
        </w:rPr>
        <w:t xml:space="preserve"> under scrutiny</w:t>
      </w:r>
      <w:r>
        <w:rPr>
          <w:rFonts w:cstheme="minorHAnsi"/>
        </w:rPr>
        <w:t>. W</w:t>
      </w:r>
      <w:r w:rsidR="005B0D31">
        <w:rPr>
          <w:rFonts w:cstheme="minorHAnsi"/>
        </w:rPr>
        <w:t>ith an aged care</w:t>
      </w:r>
      <w:r w:rsidR="005B0D31" w:rsidRPr="00DF1B32">
        <w:rPr>
          <w:rFonts w:cstheme="minorHAnsi"/>
        </w:rPr>
        <w:t xml:space="preserve"> workforce </w:t>
      </w:r>
      <w:r>
        <w:rPr>
          <w:rFonts w:cstheme="minorHAnsi"/>
        </w:rPr>
        <w:t xml:space="preserve">that is characterised as </w:t>
      </w:r>
      <w:r w:rsidR="00CC6906">
        <w:rPr>
          <w:rFonts w:cstheme="minorHAnsi"/>
        </w:rPr>
        <w:t>“</w:t>
      </w:r>
      <w:r w:rsidR="005B0D31" w:rsidRPr="00DF1B32">
        <w:rPr>
          <w:rFonts w:cstheme="minorHAnsi"/>
        </w:rPr>
        <w:t>under pressure</w:t>
      </w:r>
      <w:r>
        <w:rPr>
          <w:rFonts w:cstheme="minorHAnsi"/>
        </w:rPr>
        <w:t xml:space="preserve">, </w:t>
      </w:r>
      <w:r w:rsidR="005B0D31" w:rsidRPr="00DF1B32">
        <w:rPr>
          <w:rFonts w:cstheme="minorHAnsi"/>
        </w:rPr>
        <w:t>under-appreciated and that lacks key skills</w:t>
      </w:r>
      <w:r w:rsidR="005B0D31">
        <w:rPr>
          <w:rFonts w:cstheme="minorHAnsi"/>
        </w:rPr>
        <w:t>”</w:t>
      </w:r>
      <w:r w:rsidR="005B0D31">
        <w:rPr>
          <w:rStyle w:val="FootnoteReference"/>
          <w:rFonts w:cstheme="minorHAnsi"/>
        </w:rPr>
        <w:footnoteReference w:id="1"/>
      </w:r>
      <w:r>
        <w:rPr>
          <w:rFonts w:cstheme="minorHAnsi"/>
        </w:rPr>
        <w:t xml:space="preserve">, </w:t>
      </w:r>
      <w:r w:rsidR="007B1639">
        <w:rPr>
          <w:rFonts w:cstheme="minorHAnsi"/>
        </w:rPr>
        <w:t xml:space="preserve">opportunities to ‘raise the bar’ </w:t>
      </w:r>
      <w:r w:rsidR="00980872">
        <w:rPr>
          <w:rFonts w:cstheme="minorHAnsi"/>
        </w:rPr>
        <w:t xml:space="preserve">are being explored including </w:t>
      </w:r>
      <w:r w:rsidR="007B1639">
        <w:rPr>
          <w:rFonts w:cstheme="minorHAnsi"/>
        </w:rPr>
        <w:t xml:space="preserve">to strengthen </w:t>
      </w:r>
      <w:r w:rsidR="00980872">
        <w:rPr>
          <w:rFonts w:cstheme="minorHAnsi"/>
        </w:rPr>
        <w:t xml:space="preserve">protections for </w:t>
      </w:r>
      <w:r>
        <w:rPr>
          <w:rFonts w:cstheme="minorHAnsi"/>
        </w:rPr>
        <w:t>consumers</w:t>
      </w:r>
      <w:r w:rsidR="005B0D31" w:rsidRPr="00DF1B32">
        <w:rPr>
          <w:rFonts w:cstheme="minorHAnsi"/>
        </w:rPr>
        <w:t>.</w:t>
      </w:r>
    </w:p>
    <w:p w14:paraId="504E8120" w14:textId="77777777" w:rsidR="005B0D31" w:rsidRDefault="005B0D31" w:rsidP="00311B81">
      <w:pPr>
        <w:pStyle w:val="mpcNormal"/>
        <w:spacing w:after="0"/>
        <w:rPr>
          <w:rFonts w:cstheme="minorHAnsi"/>
        </w:rPr>
      </w:pPr>
    </w:p>
    <w:p w14:paraId="6EBC986A" w14:textId="782BFA42" w:rsidR="005B0D31" w:rsidRDefault="005B0D31" w:rsidP="00311B81">
      <w:pPr>
        <w:pStyle w:val="mpcNormal"/>
        <w:spacing w:after="0"/>
        <w:rPr>
          <w:rFonts w:cstheme="minorHAnsi"/>
        </w:rPr>
      </w:pPr>
      <w:r>
        <w:rPr>
          <w:rFonts w:cstheme="minorHAnsi"/>
        </w:rPr>
        <w:t>Numerous</w:t>
      </w:r>
      <w:r w:rsidRPr="0055114F">
        <w:rPr>
          <w:rFonts w:cstheme="minorHAnsi"/>
        </w:rPr>
        <w:t xml:space="preserve"> inquiries and reports</w:t>
      </w:r>
      <w:r>
        <w:rPr>
          <w:rFonts w:cstheme="minorHAnsi"/>
        </w:rPr>
        <w:t xml:space="preserve"> over the past five years have made </w:t>
      </w:r>
      <w:r w:rsidRPr="0055114F">
        <w:rPr>
          <w:rFonts w:cstheme="minorHAnsi"/>
        </w:rPr>
        <w:t xml:space="preserve">recommendations </w:t>
      </w:r>
      <w:r>
        <w:rPr>
          <w:rFonts w:cstheme="minorHAnsi"/>
        </w:rPr>
        <w:t>for</w:t>
      </w:r>
      <w:r w:rsidRPr="0055114F">
        <w:rPr>
          <w:rFonts w:cstheme="minorHAnsi"/>
        </w:rPr>
        <w:t xml:space="preserve"> an aged care worker regulation scheme</w:t>
      </w:r>
      <w:r>
        <w:rPr>
          <w:rFonts w:cstheme="minorHAnsi"/>
        </w:rPr>
        <w:t xml:space="preserve"> to combat concerns about the quality of aged care and the safety of consumers. This year</w:t>
      </w:r>
      <w:r w:rsidR="00CC6906">
        <w:rPr>
          <w:rFonts w:cstheme="minorHAnsi"/>
        </w:rPr>
        <w:t>,</w:t>
      </w:r>
      <w:r w:rsidRPr="00DB362C">
        <w:rPr>
          <w:rFonts w:cstheme="minorHAnsi"/>
        </w:rPr>
        <w:t xml:space="preserve"> the Royal Commission into Aged Care Quality and Safety (the Royal Commission) has been exploring th</w:t>
      </w:r>
      <w:r>
        <w:rPr>
          <w:rFonts w:cstheme="minorHAnsi"/>
        </w:rPr>
        <w:t>e</w:t>
      </w:r>
      <w:r w:rsidRPr="00DB362C">
        <w:rPr>
          <w:rFonts w:cstheme="minorHAnsi"/>
        </w:rPr>
        <w:t xml:space="preserve"> issue</w:t>
      </w:r>
      <w:r w:rsidR="0027040B">
        <w:rPr>
          <w:rFonts w:cstheme="minorHAnsi"/>
        </w:rPr>
        <w:t xml:space="preserve"> of protections for consumers more broadly and</w:t>
      </w:r>
      <w:r w:rsidR="000F1ABA">
        <w:rPr>
          <w:rFonts w:cstheme="minorHAnsi"/>
        </w:rPr>
        <w:t>, to date,</w:t>
      </w:r>
      <w:r w:rsidR="0027040B">
        <w:rPr>
          <w:rFonts w:cstheme="minorHAnsi"/>
        </w:rPr>
        <w:t xml:space="preserve"> has </w:t>
      </w:r>
      <w:r w:rsidR="00C45E8F">
        <w:rPr>
          <w:rFonts w:cstheme="minorHAnsi"/>
        </w:rPr>
        <w:t xml:space="preserve">canvassed </w:t>
      </w:r>
      <w:r w:rsidRPr="00DB362C">
        <w:rPr>
          <w:rFonts w:cstheme="minorHAnsi"/>
        </w:rPr>
        <w:t xml:space="preserve">a registration scheme </w:t>
      </w:r>
      <w:r w:rsidR="00C45E8F">
        <w:rPr>
          <w:rFonts w:cstheme="minorHAnsi"/>
        </w:rPr>
        <w:t>for</w:t>
      </w:r>
      <w:r w:rsidRPr="00DB362C">
        <w:rPr>
          <w:rFonts w:cstheme="minorHAnsi"/>
        </w:rPr>
        <w:t xml:space="preserve"> personal care workers (PCWs).</w:t>
      </w:r>
    </w:p>
    <w:p w14:paraId="54301B02" w14:textId="77777777" w:rsidR="005B0D31" w:rsidRDefault="005B0D31" w:rsidP="00311B81">
      <w:pPr>
        <w:pStyle w:val="mpcNormal"/>
        <w:spacing w:after="0"/>
      </w:pPr>
    </w:p>
    <w:p w14:paraId="54890959" w14:textId="2C7A8FDC" w:rsidR="005B0D31" w:rsidRDefault="005B0D31" w:rsidP="00311B81">
      <w:pPr>
        <w:pStyle w:val="mpcNormal"/>
        <w:spacing w:after="0"/>
        <w:rPr>
          <w:rFonts w:cstheme="minorHAnsi"/>
        </w:rPr>
      </w:pPr>
      <w:r>
        <w:rPr>
          <w:rFonts w:cstheme="minorHAnsi"/>
        </w:rPr>
        <w:t>Against this backdrop, mpconsulting was engaged</w:t>
      </w:r>
      <w:r w:rsidR="00A46E26">
        <w:rPr>
          <w:rFonts w:cstheme="minorHAnsi"/>
        </w:rPr>
        <w:t xml:space="preserve"> by the Department of Health (the department)</w:t>
      </w:r>
      <w:r>
        <w:rPr>
          <w:rFonts w:cstheme="minorHAnsi"/>
        </w:rPr>
        <w:t xml:space="preserve"> to consult with stakeholder</w:t>
      </w:r>
      <w:r w:rsidR="00A46E26">
        <w:rPr>
          <w:rFonts w:cstheme="minorHAnsi"/>
        </w:rPr>
        <w:t>s</w:t>
      </w:r>
      <w:r>
        <w:rPr>
          <w:rFonts w:cstheme="minorHAnsi"/>
        </w:rPr>
        <w:t xml:space="preserve"> on </w:t>
      </w:r>
      <w:r w:rsidR="00C45E8F">
        <w:rPr>
          <w:rFonts w:cstheme="minorHAnsi"/>
        </w:rPr>
        <w:t>the features of a</w:t>
      </w:r>
      <w:r>
        <w:rPr>
          <w:rFonts w:cstheme="minorHAnsi"/>
        </w:rPr>
        <w:t xml:space="preserve"> future scheme </w:t>
      </w:r>
      <w:r w:rsidR="00C45E8F">
        <w:rPr>
          <w:rFonts w:cstheme="minorHAnsi"/>
        </w:rPr>
        <w:t xml:space="preserve">to </w:t>
      </w:r>
      <w:r>
        <w:rPr>
          <w:rFonts w:cstheme="minorHAnsi"/>
        </w:rPr>
        <w:t>reflect community expectations</w:t>
      </w:r>
      <w:r w:rsidR="00C45E8F">
        <w:rPr>
          <w:rFonts w:cstheme="minorHAnsi"/>
        </w:rPr>
        <w:t xml:space="preserve"> and also</w:t>
      </w:r>
      <w:r>
        <w:rPr>
          <w:rFonts w:cstheme="minorHAnsi"/>
        </w:rPr>
        <w:t xml:space="preserve"> in light of the Royal Commission, and </w:t>
      </w:r>
      <w:r w:rsidR="00C45E8F">
        <w:rPr>
          <w:rFonts w:cstheme="minorHAnsi"/>
        </w:rPr>
        <w:t>a number of</w:t>
      </w:r>
      <w:r>
        <w:rPr>
          <w:rFonts w:cstheme="minorHAnsi"/>
        </w:rPr>
        <w:t xml:space="preserve"> </w:t>
      </w:r>
      <w:r w:rsidR="00C45E8F">
        <w:rPr>
          <w:rFonts w:cstheme="minorHAnsi"/>
        </w:rPr>
        <w:t>recent r</w:t>
      </w:r>
      <w:r>
        <w:rPr>
          <w:rFonts w:cstheme="minorHAnsi"/>
        </w:rPr>
        <w:t xml:space="preserve">eviews and taskforces. </w:t>
      </w:r>
    </w:p>
    <w:p w14:paraId="74EDBCAA" w14:textId="5F6BCC7A" w:rsidR="00612DB5" w:rsidRDefault="00612DB5" w:rsidP="00311B81">
      <w:pPr>
        <w:pStyle w:val="mpcNormal"/>
        <w:spacing w:after="0"/>
        <w:rPr>
          <w:rFonts w:cstheme="minorHAnsi"/>
        </w:rPr>
      </w:pPr>
    </w:p>
    <w:p w14:paraId="459054F0" w14:textId="7CB10998" w:rsidR="00612DB5" w:rsidRDefault="00980872" w:rsidP="00311B81">
      <w:pPr>
        <w:pStyle w:val="mpcNormal"/>
        <w:spacing w:after="0"/>
        <w:rPr>
          <w:rFonts w:cstheme="minorHAnsi"/>
        </w:rPr>
      </w:pPr>
      <w:r>
        <w:rPr>
          <w:rFonts w:cstheme="minorHAnsi"/>
        </w:rPr>
        <w:t>S</w:t>
      </w:r>
      <w:r w:rsidR="00612DB5">
        <w:rPr>
          <w:rFonts w:cstheme="minorHAnsi"/>
        </w:rPr>
        <w:t>ince the commencement of the consultation, the aged care environment has been fundamentally impacted by the COVID-19 pandemic. While a skilled</w:t>
      </w:r>
      <w:r w:rsidR="00CF2C3F">
        <w:rPr>
          <w:rFonts w:cstheme="minorHAnsi"/>
        </w:rPr>
        <w:t xml:space="preserve"> and</w:t>
      </w:r>
      <w:r w:rsidR="00612DB5">
        <w:rPr>
          <w:rFonts w:cstheme="minorHAnsi"/>
        </w:rPr>
        <w:t xml:space="preserve"> </w:t>
      </w:r>
      <w:r w:rsidR="00971341">
        <w:rPr>
          <w:rFonts w:cstheme="minorHAnsi"/>
        </w:rPr>
        <w:t>competent</w:t>
      </w:r>
      <w:r w:rsidR="00612DB5">
        <w:rPr>
          <w:rFonts w:cstheme="minorHAnsi"/>
        </w:rPr>
        <w:t xml:space="preserve"> workforce</w:t>
      </w:r>
      <w:r w:rsidR="00CF2C3F">
        <w:rPr>
          <w:rFonts w:cstheme="minorHAnsi"/>
        </w:rPr>
        <w:t xml:space="preserve"> </w:t>
      </w:r>
      <w:r w:rsidR="00612DB5">
        <w:rPr>
          <w:rFonts w:cstheme="minorHAnsi"/>
        </w:rPr>
        <w:t>is</w:t>
      </w:r>
      <w:r w:rsidR="006C7510">
        <w:rPr>
          <w:rFonts w:cstheme="minorHAnsi"/>
        </w:rPr>
        <w:t xml:space="preserve"> more important than ever</w:t>
      </w:r>
      <w:r w:rsidR="00612DB5">
        <w:rPr>
          <w:rFonts w:cstheme="minorHAnsi"/>
        </w:rPr>
        <w:t>, the sector is grappling with a substantial lo</w:t>
      </w:r>
      <w:r w:rsidR="00343053">
        <w:rPr>
          <w:rFonts w:cstheme="minorHAnsi"/>
        </w:rPr>
        <w:t>ss of workforce</w:t>
      </w:r>
      <w:r w:rsidR="00612DB5">
        <w:rPr>
          <w:rFonts w:cstheme="minorHAnsi"/>
        </w:rPr>
        <w:t xml:space="preserve"> and</w:t>
      </w:r>
      <w:r w:rsidR="006C7510">
        <w:rPr>
          <w:rFonts w:cstheme="minorHAnsi"/>
        </w:rPr>
        <w:t xml:space="preserve"> </w:t>
      </w:r>
      <w:r w:rsidR="00612DB5">
        <w:rPr>
          <w:rFonts w:cstheme="minorHAnsi"/>
        </w:rPr>
        <w:t xml:space="preserve">an influx of new </w:t>
      </w:r>
      <w:r>
        <w:rPr>
          <w:rFonts w:cstheme="minorHAnsi"/>
        </w:rPr>
        <w:t xml:space="preserve">staff, </w:t>
      </w:r>
      <w:r w:rsidR="00EC3209">
        <w:rPr>
          <w:rFonts w:cstheme="minorHAnsi"/>
        </w:rPr>
        <w:t xml:space="preserve">some </w:t>
      </w:r>
      <w:r>
        <w:rPr>
          <w:rFonts w:cstheme="minorHAnsi"/>
        </w:rPr>
        <w:t xml:space="preserve">of whom </w:t>
      </w:r>
      <w:r w:rsidR="00EC3209">
        <w:rPr>
          <w:rFonts w:cstheme="minorHAnsi"/>
        </w:rPr>
        <w:t xml:space="preserve">do not have extensive experience </w:t>
      </w:r>
      <w:r>
        <w:rPr>
          <w:rFonts w:cstheme="minorHAnsi"/>
        </w:rPr>
        <w:t>provid</w:t>
      </w:r>
      <w:r w:rsidR="00EC3209">
        <w:rPr>
          <w:rFonts w:cstheme="minorHAnsi"/>
        </w:rPr>
        <w:t>ing c</w:t>
      </w:r>
      <w:r>
        <w:rPr>
          <w:rFonts w:cstheme="minorHAnsi"/>
        </w:rPr>
        <w:t>are to older Australians. While the safety of consumers must always be at the forefront, it is important that any changes to workforce requirements do not impose unnecessary barriers to the recruitment and retention of the right people for the diverse range</w:t>
      </w:r>
      <w:r w:rsidR="00EC3209">
        <w:rPr>
          <w:rFonts w:cstheme="minorHAnsi"/>
        </w:rPr>
        <w:t xml:space="preserve"> of</w:t>
      </w:r>
      <w:r>
        <w:rPr>
          <w:rFonts w:cstheme="minorHAnsi"/>
        </w:rPr>
        <w:t xml:space="preserve"> aged care roles. </w:t>
      </w:r>
    </w:p>
    <w:p w14:paraId="28386B35" w14:textId="77777777" w:rsidR="005B0D31" w:rsidRDefault="005B0D31" w:rsidP="00311B81">
      <w:pPr>
        <w:pStyle w:val="mpcNormal"/>
        <w:spacing w:after="0"/>
        <w:rPr>
          <w:rFonts w:cstheme="minorHAnsi"/>
        </w:rPr>
      </w:pPr>
    </w:p>
    <w:p w14:paraId="17759BDC" w14:textId="2EC9F8A4" w:rsidR="005B0D31" w:rsidRDefault="005B0D31" w:rsidP="00311B81">
      <w:pPr>
        <w:pStyle w:val="mpcNormal"/>
        <w:spacing w:after="0"/>
      </w:pPr>
      <w:r>
        <w:rPr>
          <w:rFonts w:cstheme="minorHAnsi"/>
        </w:rPr>
        <w:t>T</w:t>
      </w:r>
      <w:r w:rsidRPr="0055114F">
        <w:rPr>
          <w:rFonts w:cstheme="minorHAnsi"/>
        </w:rPr>
        <w:t xml:space="preserve">his </w:t>
      </w:r>
      <w:r w:rsidR="0038315D">
        <w:rPr>
          <w:rFonts w:cstheme="minorHAnsi"/>
        </w:rPr>
        <w:t>report</w:t>
      </w:r>
      <w:r w:rsidRPr="0055114F">
        <w:rPr>
          <w:rFonts w:cstheme="minorHAnsi"/>
        </w:rPr>
        <w:t xml:space="preserve"> </w:t>
      </w:r>
      <w:r w:rsidR="00973CC0">
        <w:rPr>
          <w:rFonts w:cstheme="minorHAnsi"/>
        </w:rPr>
        <w:t>outlines</w:t>
      </w:r>
      <w:r w:rsidRPr="0055114F">
        <w:rPr>
          <w:rFonts w:cstheme="minorHAnsi"/>
        </w:rPr>
        <w:t xml:space="preserve"> the overall themes</w:t>
      </w:r>
      <w:r w:rsidR="00973CC0">
        <w:rPr>
          <w:rFonts w:cstheme="minorHAnsi"/>
        </w:rPr>
        <w:t xml:space="preserve"> of consultation</w:t>
      </w:r>
      <w:r w:rsidRPr="0055114F">
        <w:rPr>
          <w:rFonts w:cstheme="minorHAnsi"/>
        </w:rPr>
        <w:t xml:space="preserve"> and </w:t>
      </w:r>
      <w:r>
        <w:rPr>
          <w:rFonts w:cstheme="minorHAnsi"/>
        </w:rPr>
        <w:t xml:space="preserve">details </w:t>
      </w:r>
      <w:r w:rsidRPr="0055114F">
        <w:rPr>
          <w:rFonts w:cstheme="minorHAnsi"/>
        </w:rPr>
        <w:t xml:space="preserve">stakeholder responses to </w:t>
      </w:r>
      <w:r>
        <w:rPr>
          <w:rFonts w:cstheme="minorHAnsi"/>
        </w:rPr>
        <w:t>t</w:t>
      </w:r>
      <w:r w:rsidRPr="0055114F">
        <w:rPr>
          <w:rFonts w:cstheme="minorHAnsi"/>
        </w:rPr>
        <w:t>he</w:t>
      </w:r>
      <w:r w:rsidR="00973CC0">
        <w:rPr>
          <w:rFonts w:cstheme="minorHAnsi"/>
        </w:rPr>
        <w:t xml:space="preserve"> options described in the</w:t>
      </w:r>
      <w:r w:rsidRPr="0055114F">
        <w:rPr>
          <w:rFonts w:cstheme="minorHAnsi"/>
        </w:rPr>
        <w:t xml:space="preserve"> </w:t>
      </w:r>
      <w:hyperlink r:id="rId11" w:history="1">
        <w:r w:rsidRPr="00DB1D8D">
          <w:rPr>
            <w:rStyle w:val="Hyperlink"/>
            <w:i/>
            <w:iCs/>
          </w:rPr>
          <w:t>Aged Care Worker Regulation Scheme Consultation Paper</w:t>
        </w:r>
      </w:hyperlink>
      <w:r>
        <w:t xml:space="preserve"> (Consultation Paper).</w:t>
      </w:r>
      <w:r w:rsidR="00973CC0">
        <w:t xml:space="preserve"> It notes the areas in which there was </w:t>
      </w:r>
      <w:r w:rsidR="00C45E8F">
        <w:t xml:space="preserve">a high degree of </w:t>
      </w:r>
      <w:r w:rsidR="00973CC0">
        <w:t xml:space="preserve">consensus and also where stakeholders presented </w:t>
      </w:r>
      <w:r w:rsidR="005B3A39">
        <w:t xml:space="preserve">polarised </w:t>
      </w:r>
      <w:r w:rsidR="00973CC0">
        <w:t>view</w:t>
      </w:r>
      <w:r w:rsidR="005B3A39">
        <w:t>s</w:t>
      </w:r>
      <w:r w:rsidR="00973CC0">
        <w:t xml:space="preserve"> or felt that further exploration of the issues</w:t>
      </w:r>
      <w:r w:rsidR="00D6006F">
        <w:t xml:space="preserve"> </w:t>
      </w:r>
      <w:r w:rsidR="00973CC0">
        <w:t>was needed.</w:t>
      </w:r>
      <w:r>
        <w:t xml:space="preserve"> </w:t>
      </w:r>
    </w:p>
    <w:p w14:paraId="15E904F7" w14:textId="77777777" w:rsidR="005B0D31" w:rsidRPr="0055114F" w:rsidRDefault="005B0D31" w:rsidP="00311B81">
      <w:pPr>
        <w:pStyle w:val="mpcNormal"/>
        <w:spacing w:after="0"/>
        <w:rPr>
          <w:rFonts w:cstheme="minorHAnsi"/>
        </w:rPr>
      </w:pPr>
    </w:p>
    <w:p w14:paraId="27703A7E" w14:textId="31FAA8DF" w:rsidR="005B0D31" w:rsidRDefault="005B0D31" w:rsidP="00311B81">
      <w:pPr>
        <w:pStyle w:val="mpcbullets1"/>
        <w:numPr>
          <w:ilvl w:val="0"/>
          <w:numId w:val="0"/>
        </w:numPr>
        <w:rPr>
          <w:rFonts w:cstheme="minorHAnsi"/>
        </w:rPr>
      </w:pPr>
      <w:r>
        <w:rPr>
          <w:rFonts w:cstheme="minorHAnsi"/>
        </w:rPr>
        <w:t>Stakeholders felt strongly that the issues to be resolved and the objectives of any new regulation need to be well understood to ensure that the right model is achieved. The concept of</w:t>
      </w:r>
      <w:r w:rsidR="00C45E8F">
        <w:rPr>
          <w:rFonts w:cstheme="minorHAnsi"/>
        </w:rPr>
        <w:t xml:space="preserve"> ‘</w:t>
      </w:r>
      <w:r>
        <w:rPr>
          <w:rFonts w:cstheme="minorHAnsi"/>
        </w:rPr>
        <w:t xml:space="preserve">walking before </w:t>
      </w:r>
      <w:r w:rsidR="00CC6906">
        <w:rPr>
          <w:rFonts w:cstheme="minorHAnsi"/>
        </w:rPr>
        <w:t>running</w:t>
      </w:r>
      <w:r w:rsidR="00C45E8F">
        <w:rPr>
          <w:rFonts w:cstheme="minorHAnsi"/>
        </w:rPr>
        <w:t>’</w:t>
      </w:r>
      <w:r>
        <w:rPr>
          <w:rFonts w:cstheme="minorHAnsi"/>
        </w:rPr>
        <w:t xml:space="preserve"> was a prominent theme, with stakeholders keen to ensure implementation</w:t>
      </w:r>
      <w:r w:rsidR="00740606">
        <w:rPr>
          <w:rFonts w:cstheme="minorHAnsi"/>
        </w:rPr>
        <w:t xml:space="preserve"> of any new scheme</w:t>
      </w:r>
      <w:r>
        <w:rPr>
          <w:rFonts w:cstheme="minorHAnsi"/>
        </w:rPr>
        <w:t xml:space="preserve"> is carefully staged to gain the outcomes intended without </w:t>
      </w:r>
      <w:r w:rsidR="00C45E8F">
        <w:rPr>
          <w:rFonts w:cstheme="minorHAnsi"/>
        </w:rPr>
        <w:t xml:space="preserve">unnecessarily </w:t>
      </w:r>
      <w:r>
        <w:rPr>
          <w:rFonts w:cstheme="minorHAnsi"/>
        </w:rPr>
        <w:t>disrupting a much-needed workforce.</w:t>
      </w:r>
    </w:p>
    <w:p w14:paraId="6BF74FCD" w14:textId="77777777" w:rsidR="005B0D31" w:rsidRPr="0055114F" w:rsidRDefault="005B0D31" w:rsidP="00311B81">
      <w:pPr>
        <w:pStyle w:val="mpcbullets1"/>
        <w:numPr>
          <w:ilvl w:val="0"/>
          <w:numId w:val="0"/>
        </w:numPr>
        <w:rPr>
          <w:rFonts w:cstheme="minorHAnsi"/>
        </w:rPr>
      </w:pPr>
    </w:p>
    <w:p w14:paraId="599CB7A0" w14:textId="214A7D53" w:rsidR="00A46E26" w:rsidRDefault="00315449" w:rsidP="00311B81">
      <w:pPr>
        <w:pStyle w:val="mpcNormal"/>
        <w:keepNext/>
        <w:spacing w:after="0"/>
        <w:rPr>
          <w:rFonts w:cstheme="minorHAnsi"/>
        </w:rPr>
      </w:pPr>
      <w:r>
        <w:rPr>
          <w:rFonts w:cstheme="minorHAnsi"/>
          <w:bCs/>
        </w:rPr>
        <w:t>S</w:t>
      </w:r>
      <w:r w:rsidR="005B0D31" w:rsidRPr="00FE263A">
        <w:rPr>
          <w:rFonts w:cstheme="minorHAnsi"/>
          <w:bCs/>
        </w:rPr>
        <w:t>takeholde</w:t>
      </w:r>
      <w:r w:rsidR="00B3539A">
        <w:rPr>
          <w:rFonts w:cstheme="minorHAnsi"/>
          <w:bCs/>
        </w:rPr>
        <w:t>rs</w:t>
      </w:r>
      <w:r w:rsidR="005B0D31" w:rsidRPr="00FE263A">
        <w:rPr>
          <w:rFonts w:cstheme="minorHAnsi"/>
          <w:bCs/>
        </w:rPr>
        <w:t xml:space="preserve"> </w:t>
      </w:r>
      <w:r w:rsidR="00F75AF6">
        <w:rPr>
          <w:rFonts w:cstheme="minorHAnsi"/>
        </w:rPr>
        <w:t xml:space="preserve">overwhelmingly noted that a key objective of a worker regulation scheme is to improve consumer protections against abuse and neglect in aged care, and </w:t>
      </w:r>
      <w:r w:rsidR="00A46E26">
        <w:rPr>
          <w:rFonts w:cstheme="minorHAnsi"/>
        </w:rPr>
        <w:t xml:space="preserve">that strengthened </w:t>
      </w:r>
      <w:r w:rsidR="00F75AF6">
        <w:rPr>
          <w:rFonts w:cstheme="minorHAnsi"/>
        </w:rPr>
        <w:t>worker screening</w:t>
      </w:r>
      <w:r w:rsidR="00326B9C">
        <w:rPr>
          <w:rFonts w:cstheme="minorHAnsi"/>
        </w:rPr>
        <w:t xml:space="preserve"> </w:t>
      </w:r>
      <w:r w:rsidR="00F75AF6">
        <w:rPr>
          <w:rFonts w:cstheme="minorHAnsi"/>
        </w:rPr>
        <w:t>aimed at preventing unsuitable workers entering or remaining in the aged care sector</w:t>
      </w:r>
      <w:r w:rsidR="00326B9C">
        <w:rPr>
          <w:rFonts w:cstheme="minorHAnsi"/>
          <w:bCs/>
        </w:rPr>
        <w:t xml:space="preserve"> should be prioritised</w:t>
      </w:r>
      <w:r w:rsidR="00A46E26">
        <w:rPr>
          <w:rFonts w:cstheme="minorHAnsi"/>
          <w:bCs/>
        </w:rPr>
        <w:t xml:space="preserve">. </w:t>
      </w:r>
      <w:r w:rsidR="00722AE9">
        <w:rPr>
          <w:rFonts w:cstheme="minorHAnsi"/>
          <w:bCs/>
        </w:rPr>
        <w:t xml:space="preserve">Many stakeholders urged implementing different features of the </w:t>
      </w:r>
      <w:r w:rsidR="00740606" w:rsidRPr="0055114F">
        <w:rPr>
          <w:rFonts w:cstheme="minorHAnsi"/>
        </w:rPr>
        <w:t>scheme over two to six years, such that public confidence could be built through the staged roll out of features addressing the objectives of the scheme in order of priority</w:t>
      </w:r>
      <w:r w:rsidR="00740606">
        <w:rPr>
          <w:rFonts w:cstheme="minorHAnsi"/>
        </w:rPr>
        <w:t xml:space="preserve">, starting with worker </w:t>
      </w:r>
      <w:r w:rsidR="00740606">
        <w:rPr>
          <w:rFonts w:cstheme="minorHAnsi"/>
        </w:rPr>
        <w:lastRenderedPageBreak/>
        <w:t>screening</w:t>
      </w:r>
      <w:r w:rsidR="00A46E26">
        <w:rPr>
          <w:rFonts w:cstheme="minorHAnsi"/>
        </w:rPr>
        <w:t xml:space="preserve"> before moving to broader registration requirements (such as</w:t>
      </w:r>
      <w:r w:rsidR="00C45E8F">
        <w:rPr>
          <w:rFonts w:cstheme="minorHAnsi"/>
        </w:rPr>
        <w:t xml:space="preserve"> mandated national</w:t>
      </w:r>
      <w:r w:rsidR="00A46E26">
        <w:rPr>
          <w:rFonts w:cstheme="minorHAnsi"/>
        </w:rPr>
        <w:t xml:space="preserve"> minimum qualifications)</w:t>
      </w:r>
      <w:r w:rsidR="00740606">
        <w:rPr>
          <w:rFonts w:cstheme="minorHAnsi"/>
        </w:rPr>
        <w:t>.</w:t>
      </w:r>
    </w:p>
    <w:p w14:paraId="0AFC1E03" w14:textId="77777777" w:rsidR="00A46E26" w:rsidRDefault="00A46E26" w:rsidP="00311B81">
      <w:pPr>
        <w:pStyle w:val="mpcNormal"/>
        <w:keepNext/>
        <w:spacing w:after="0"/>
        <w:rPr>
          <w:rFonts w:cstheme="minorHAnsi"/>
        </w:rPr>
      </w:pPr>
    </w:p>
    <w:p w14:paraId="2348EF36" w14:textId="1AED21B3" w:rsidR="00740606" w:rsidRPr="00A46E26" w:rsidRDefault="00A46E26" w:rsidP="00311B81">
      <w:pPr>
        <w:pStyle w:val="mpcNormal"/>
        <w:keepNext/>
        <w:spacing w:after="0"/>
        <w:rPr>
          <w:rFonts w:cstheme="minorHAnsi"/>
        </w:rPr>
      </w:pPr>
      <w:r>
        <w:rPr>
          <w:rFonts w:cstheme="minorHAnsi"/>
        </w:rPr>
        <w:t>An</w:t>
      </w:r>
      <w:r w:rsidR="00C45E8F">
        <w:rPr>
          <w:rFonts w:cstheme="minorHAnsi"/>
        </w:rPr>
        <w:t>other</w:t>
      </w:r>
      <w:r>
        <w:rPr>
          <w:rFonts w:cstheme="minorHAnsi"/>
        </w:rPr>
        <w:t xml:space="preserve"> area of </w:t>
      </w:r>
      <w:r w:rsidR="00C45E8F">
        <w:rPr>
          <w:rFonts w:cstheme="minorHAnsi"/>
        </w:rPr>
        <w:t xml:space="preserve">broad </w:t>
      </w:r>
      <w:r>
        <w:rPr>
          <w:rFonts w:cstheme="minorHAnsi"/>
        </w:rPr>
        <w:t>stakeholder agreement was that</w:t>
      </w:r>
      <w:r w:rsidR="00740606">
        <w:rPr>
          <w:rFonts w:cstheme="minorHAnsi"/>
        </w:rPr>
        <w:t xml:space="preserve"> </w:t>
      </w:r>
      <w:r>
        <w:rPr>
          <w:rFonts w:cstheme="minorHAnsi"/>
        </w:rPr>
        <w:t>aged care w</w:t>
      </w:r>
      <w:r w:rsidR="00740606" w:rsidRPr="00A46E26">
        <w:rPr>
          <w:rFonts w:cstheme="minorHAnsi"/>
        </w:rPr>
        <w:t xml:space="preserve">orkers </w:t>
      </w:r>
      <w:r w:rsidR="00146FF4">
        <w:rPr>
          <w:rFonts w:cstheme="minorHAnsi"/>
        </w:rPr>
        <w:t>(as de</w:t>
      </w:r>
      <w:r w:rsidR="00FE12F6">
        <w:rPr>
          <w:rFonts w:cstheme="minorHAnsi"/>
        </w:rPr>
        <w:t>scribed</w:t>
      </w:r>
      <w:r w:rsidR="00146FF4">
        <w:rPr>
          <w:rFonts w:cstheme="minorHAnsi"/>
        </w:rPr>
        <w:t xml:space="preserve"> in Chapter 4) </w:t>
      </w:r>
      <w:r w:rsidR="00740606" w:rsidRPr="00A46E26">
        <w:rPr>
          <w:rFonts w:cstheme="minorHAnsi"/>
        </w:rPr>
        <w:t>should be subject to an aged care specific code of conduct</w:t>
      </w:r>
      <w:r>
        <w:rPr>
          <w:rFonts w:cstheme="minorHAnsi"/>
        </w:rPr>
        <w:t>,</w:t>
      </w:r>
      <w:r w:rsidR="00740606" w:rsidRPr="00A46E26">
        <w:rPr>
          <w:rFonts w:cstheme="minorHAnsi"/>
        </w:rPr>
        <w:t xml:space="preserve"> that </w:t>
      </w:r>
      <w:r w:rsidR="00C45E8F">
        <w:rPr>
          <w:rFonts w:cstheme="minorHAnsi"/>
        </w:rPr>
        <w:t>c</w:t>
      </w:r>
      <w:r w:rsidR="00740606" w:rsidRPr="00A46E26">
        <w:rPr>
          <w:rFonts w:cstheme="minorHAnsi"/>
        </w:rPr>
        <w:t>ould draw on the NDIS Code</w:t>
      </w:r>
      <w:r>
        <w:rPr>
          <w:rFonts w:cstheme="minorHAnsi"/>
        </w:rPr>
        <w:t xml:space="preserve"> of Conduct</w:t>
      </w:r>
      <w:r w:rsidR="00740606" w:rsidRPr="00A46E26">
        <w:rPr>
          <w:rFonts w:cstheme="minorHAnsi"/>
        </w:rPr>
        <w:t xml:space="preserve"> </w:t>
      </w:r>
      <w:r w:rsidR="0038315D">
        <w:rPr>
          <w:rFonts w:cstheme="minorHAnsi"/>
        </w:rPr>
        <w:t xml:space="preserve">(NDIS Code) </w:t>
      </w:r>
      <w:r w:rsidR="00740606" w:rsidRPr="00A46E26">
        <w:rPr>
          <w:rFonts w:cstheme="minorHAnsi"/>
        </w:rPr>
        <w:t xml:space="preserve">in terms of themes and simplicity but </w:t>
      </w:r>
      <w:r w:rsidR="00C45E8F">
        <w:rPr>
          <w:rFonts w:cstheme="minorHAnsi"/>
        </w:rPr>
        <w:t>c</w:t>
      </w:r>
      <w:r w:rsidR="00740606" w:rsidRPr="00A46E26">
        <w:rPr>
          <w:rFonts w:cstheme="minorHAnsi"/>
        </w:rPr>
        <w:t>ould otherwise complement the Aged Care Quality Standards and Charter of Aged Care Rights.</w:t>
      </w:r>
      <w:r>
        <w:rPr>
          <w:rFonts w:cstheme="minorHAnsi"/>
        </w:rPr>
        <w:t xml:space="preserve"> This view also reflected the strong desire to avoid duplication of existing regulation and, where possible, to enable mutual recognition and alignment with like schemes.</w:t>
      </w:r>
      <w:r w:rsidR="00740606" w:rsidRPr="00A46E26">
        <w:rPr>
          <w:rFonts w:cstheme="minorHAnsi"/>
        </w:rPr>
        <w:t xml:space="preserve"> </w:t>
      </w:r>
    </w:p>
    <w:p w14:paraId="5C17C8A5" w14:textId="2E84CBB5" w:rsidR="005B0D31" w:rsidRDefault="005B0D31" w:rsidP="00311B81">
      <w:pPr>
        <w:pStyle w:val="mpcbullets1"/>
        <w:numPr>
          <w:ilvl w:val="0"/>
          <w:numId w:val="0"/>
        </w:numPr>
        <w:rPr>
          <w:rFonts w:cstheme="minorHAnsi"/>
        </w:rPr>
      </w:pPr>
    </w:p>
    <w:p w14:paraId="37879A53" w14:textId="3EE9B3AA" w:rsidR="00073660" w:rsidRDefault="00073660" w:rsidP="00311B81">
      <w:pPr>
        <w:pStyle w:val="mpcbullets1"/>
        <w:numPr>
          <w:ilvl w:val="0"/>
          <w:numId w:val="0"/>
        </w:numPr>
        <w:rPr>
          <w:rFonts w:cstheme="minorHAnsi"/>
        </w:rPr>
      </w:pPr>
      <w:r>
        <w:rPr>
          <w:rFonts w:cstheme="minorHAnsi"/>
        </w:rPr>
        <w:t>Stakeholder views were most disparate in relation to the potential features of a worker registration scheme</w:t>
      </w:r>
      <w:r w:rsidR="0027040B">
        <w:rPr>
          <w:rFonts w:cstheme="minorHAnsi"/>
        </w:rPr>
        <w:t xml:space="preserve"> </w:t>
      </w:r>
      <w:r w:rsidR="00EC3209">
        <w:rPr>
          <w:rFonts w:cstheme="minorHAnsi"/>
        </w:rPr>
        <w:t>(as distinct from worker screening as described above)</w:t>
      </w:r>
      <w:r w:rsidR="00FD0346">
        <w:rPr>
          <w:rFonts w:cstheme="minorHAnsi"/>
        </w:rPr>
        <w:t>. While most felt that any registration standards should apply to PCWs specifically,</w:t>
      </w:r>
      <w:r w:rsidR="00101A63">
        <w:rPr>
          <w:rFonts w:cstheme="minorHAnsi"/>
        </w:rPr>
        <w:t xml:space="preserve"> varying feedback </w:t>
      </w:r>
      <w:r w:rsidR="00FD0346">
        <w:rPr>
          <w:rFonts w:cstheme="minorHAnsi"/>
        </w:rPr>
        <w:t xml:space="preserve">was provided </w:t>
      </w:r>
      <w:r w:rsidR="00101A63">
        <w:rPr>
          <w:rFonts w:cstheme="minorHAnsi"/>
        </w:rPr>
        <w:t xml:space="preserve">on </w:t>
      </w:r>
      <w:r w:rsidR="0027040B">
        <w:rPr>
          <w:rFonts w:cstheme="minorHAnsi"/>
        </w:rPr>
        <w:t xml:space="preserve">how registration should be incorporated into the workforce environment and </w:t>
      </w:r>
      <w:r w:rsidR="00101A63">
        <w:rPr>
          <w:rFonts w:cstheme="minorHAnsi"/>
        </w:rPr>
        <w:t>the value of adopting</w:t>
      </w:r>
      <w:r w:rsidR="0027040B">
        <w:rPr>
          <w:rFonts w:cstheme="minorHAnsi"/>
        </w:rPr>
        <w:t xml:space="preserve"> government regulated</w:t>
      </w:r>
      <w:r w:rsidR="00101A63">
        <w:rPr>
          <w:rFonts w:cstheme="minorHAnsi"/>
        </w:rPr>
        <w:t xml:space="preserve"> requirements for minimum qualifications, continuing professional development (CPD) and English proficiency</w:t>
      </w:r>
      <w:r w:rsidR="00880BC3" w:rsidRPr="00880BC3">
        <w:rPr>
          <w:rFonts w:cstheme="minorHAnsi"/>
        </w:rPr>
        <w:t xml:space="preserve"> </w:t>
      </w:r>
      <w:r w:rsidR="00880BC3">
        <w:rPr>
          <w:rFonts w:cstheme="minorHAnsi"/>
        </w:rPr>
        <w:t xml:space="preserve">(with stakeholders noting that </w:t>
      </w:r>
      <w:r w:rsidR="00B669A1">
        <w:rPr>
          <w:rFonts w:cstheme="minorHAnsi"/>
        </w:rPr>
        <w:t xml:space="preserve">the </w:t>
      </w:r>
      <w:r w:rsidR="00880BC3">
        <w:rPr>
          <w:rFonts w:cstheme="minorHAnsi"/>
        </w:rPr>
        <w:t xml:space="preserve">development of </w:t>
      </w:r>
      <w:r w:rsidR="00B669A1">
        <w:rPr>
          <w:rFonts w:cstheme="minorHAnsi"/>
        </w:rPr>
        <w:t xml:space="preserve">any such </w:t>
      </w:r>
      <w:r w:rsidR="00880BC3">
        <w:rPr>
          <w:rFonts w:cstheme="minorHAnsi"/>
        </w:rPr>
        <w:t>standards</w:t>
      </w:r>
      <w:r w:rsidR="00880BC3" w:rsidRPr="00880BC3">
        <w:rPr>
          <w:rFonts w:cstheme="minorHAnsi"/>
        </w:rPr>
        <w:t xml:space="preserve"> should await the outcomes of the work being conducted in the sector to review qualifications and any recommendations of the Royal Commission</w:t>
      </w:r>
      <w:r w:rsidR="00880BC3">
        <w:rPr>
          <w:rFonts w:cstheme="minorHAnsi"/>
        </w:rPr>
        <w:t>)</w:t>
      </w:r>
      <w:r w:rsidR="00880BC3" w:rsidRPr="00880BC3">
        <w:rPr>
          <w:rFonts w:cstheme="minorHAnsi"/>
        </w:rPr>
        <w:t>.</w:t>
      </w:r>
    </w:p>
    <w:p w14:paraId="5DDD6DC8" w14:textId="12C976E3" w:rsidR="004A6A79" w:rsidRDefault="004A6A79" w:rsidP="00311B81">
      <w:pPr>
        <w:pStyle w:val="mpcbullets1"/>
        <w:numPr>
          <w:ilvl w:val="0"/>
          <w:numId w:val="0"/>
        </w:numPr>
        <w:rPr>
          <w:rFonts w:cstheme="minorHAnsi"/>
        </w:rPr>
      </w:pPr>
    </w:p>
    <w:p w14:paraId="42E48A07" w14:textId="35C81BD6" w:rsidR="004A6A79" w:rsidRDefault="004A6A79" w:rsidP="006A2F35">
      <w:r>
        <w:rPr>
          <w:rFonts w:cstheme="minorHAnsi"/>
        </w:rPr>
        <w:t>A range of views were also offered in relation to who should have responsibility fo</w:t>
      </w:r>
      <w:r w:rsidR="009B7256">
        <w:rPr>
          <w:rFonts w:cstheme="minorHAnsi"/>
        </w:rPr>
        <w:t>r the regulation of the workforce, with some</w:t>
      </w:r>
      <w:r w:rsidR="009B7256" w:rsidRPr="0055114F">
        <w:rPr>
          <w:rFonts w:cstheme="minorHAnsi"/>
        </w:rPr>
        <w:t xml:space="preserve"> question over </w:t>
      </w:r>
      <w:r w:rsidR="009B7256">
        <w:rPr>
          <w:rFonts w:cstheme="minorHAnsi"/>
        </w:rPr>
        <w:t>whether an</w:t>
      </w:r>
      <w:r w:rsidR="009B7256" w:rsidRPr="0055114F">
        <w:rPr>
          <w:rFonts w:cstheme="minorHAnsi"/>
        </w:rPr>
        <w:t xml:space="preserve"> </w:t>
      </w:r>
      <w:r w:rsidR="009B7256">
        <w:rPr>
          <w:rFonts w:cstheme="minorHAnsi"/>
        </w:rPr>
        <w:t>existing n</w:t>
      </w:r>
      <w:r w:rsidR="009B7256" w:rsidRPr="0055114F">
        <w:rPr>
          <w:rFonts w:cstheme="minorHAnsi"/>
        </w:rPr>
        <w:t xml:space="preserve">ational body </w:t>
      </w:r>
      <w:r w:rsidR="009B7256">
        <w:rPr>
          <w:rFonts w:cstheme="minorHAnsi"/>
        </w:rPr>
        <w:t>should</w:t>
      </w:r>
      <w:r w:rsidR="009B7256" w:rsidRPr="0055114F">
        <w:rPr>
          <w:rFonts w:cstheme="minorHAnsi"/>
        </w:rPr>
        <w:t xml:space="preserve"> undertake </w:t>
      </w:r>
      <w:r w:rsidR="009B7256">
        <w:rPr>
          <w:rFonts w:cstheme="minorHAnsi"/>
        </w:rPr>
        <w:t xml:space="preserve">and </w:t>
      </w:r>
      <w:r w:rsidR="009B7256" w:rsidRPr="0055114F">
        <w:rPr>
          <w:rFonts w:cstheme="minorHAnsi"/>
        </w:rPr>
        <w:t xml:space="preserve">manage </w:t>
      </w:r>
      <w:r w:rsidR="009B7256">
        <w:rPr>
          <w:rFonts w:cstheme="minorHAnsi"/>
        </w:rPr>
        <w:t xml:space="preserve">worker </w:t>
      </w:r>
      <w:r w:rsidR="009B7256" w:rsidRPr="0055114F">
        <w:rPr>
          <w:rFonts w:cstheme="minorHAnsi"/>
        </w:rPr>
        <w:t xml:space="preserve">screening (and </w:t>
      </w:r>
      <w:r w:rsidR="009B7256">
        <w:rPr>
          <w:rFonts w:cstheme="minorHAnsi"/>
        </w:rPr>
        <w:t>any registration features</w:t>
      </w:r>
      <w:r w:rsidR="009B7256" w:rsidRPr="0055114F">
        <w:rPr>
          <w:rFonts w:cstheme="minorHAnsi"/>
        </w:rPr>
        <w:t>)</w:t>
      </w:r>
      <w:r w:rsidR="009B7256">
        <w:rPr>
          <w:rFonts w:cstheme="minorHAnsi"/>
        </w:rPr>
        <w:t xml:space="preserve"> </w:t>
      </w:r>
      <w:r w:rsidR="009B7256" w:rsidRPr="0055114F">
        <w:rPr>
          <w:rFonts w:cstheme="minorHAnsi"/>
        </w:rPr>
        <w:t xml:space="preserve">or </w:t>
      </w:r>
      <w:r w:rsidR="009B7256">
        <w:rPr>
          <w:rFonts w:cstheme="minorHAnsi"/>
        </w:rPr>
        <w:t xml:space="preserve">whether </w:t>
      </w:r>
      <w:r w:rsidR="009B7256" w:rsidRPr="0055114F">
        <w:rPr>
          <w:rFonts w:cstheme="minorHAnsi"/>
        </w:rPr>
        <w:t xml:space="preserve">a </w:t>
      </w:r>
      <w:r w:rsidR="009B7256">
        <w:rPr>
          <w:rFonts w:cstheme="minorHAnsi"/>
        </w:rPr>
        <w:t xml:space="preserve">new </w:t>
      </w:r>
      <w:r w:rsidR="009B7256" w:rsidRPr="0055114F">
        <w:rPr>
          <w:rFonts w:cstheme="minorHAnsi"/>
        </w:rPr>
        <w:t xml:space="preserve">national body that </w:t>
      </w:r>
      <w:r w:rsidR="009B7256">
        <w:rPr>
          <w:rFonts w:cstheme="minorHAnsi"/>
        </w:rPr>
        <w:t>works alongside</w:t>
      </w:r>
      <w:r w:rsidR="009B7256" w:rsidRPr="0055114F">
        <w:rPr>
          <w:rFonts w:cstheme="minorHAnsi"/>
        </w:rPr>
        <w:t xml:space="preserve"> the A</w:t>
      </w:r>
      <w:r w:rsidR="009B7256">
        <w:rPr>
          <w:rFonts w:cstheme="minorHAnsi"/>
        </w:rPr>
        <w:t xml:space="preserve">ged </w:t>
      </w:r>
      <w:r w:rsidR="009B7256" w:rsidRPr="0055114F">
        <w:rPr>
          <w:rFonts w:cstheme="minorHAnsi"/>
        </w:rPr>
        <w:t>C</w:t>
      </w:r>
      <w:r w:rsidR="009B7256">
        <w:rPr>
          <w:rFonts w:cstheme="minorHAnsi"/>
        </w:rPr>
        <w:t xml:space="preserve">are </w:t>
      </w:r>
      <w:r w:rsidR="009B7256" w:rsidRPr="0055114F">
        <w:rPr>
          <w:rFonts w:cstheme="minorHAnsi"/>
        </w:rPr>
        <w:t>Q</w:t>
      </w:r>
      <w:r w:rsidR="009B7256">
        <w:rPr>
          <w:rFonts w:cstheme="minorHAnsi"/>
        </w:rPr>
        <w:t xml:space="preserve">uality and </w:t>
      </w:r>
      <w:r w:rsidR="009B7256" w:rsidRPr="0055114F">
        <w:rPr>
          <w:rFonts w:cstheme="minorHAnsi"/>
        </w:rPr>
        <w:t>S</w:t>
      </w:r>
      <w:r w:rsidR="009B7256">
        <w:rPr>
          <w:rFonts w:cstheme="minorHAnsi"/>
        </w:rPr>
        <w:t>afety</w:t>
      </w:r>
      <w:r w:rsidR="009B7256" w:rsidRPr="0055114F">
        <w:rPr>
          <w:rFonts w:cstheme="minorHAnsi"/>
        </w:rPr>
        <w:t xml:space="preserve"> Commission</w:t>
      </w:r>
      <w:r w:rsidR="009B7256">
        <w:rPr>
          <w:rFonts w:cstheme="minorHAnsi"/>
        </w:rPr>
        <w:t xml:space="preserve"> </w:t>
      </w:r>
      <w:r w:rsidR="0038315D">
        <w:rPr>
          <w:rFonts w:cstheme="minorHAnsi"/>
        </w:rPr>
        <w:t xml:space="preserve">(ACQS Commission) </w:t>
      </w:r>
      <w:r w:rsidR="009B7256">
        <w:rPr>
          <w:rFonts w:cstheme="minorHAnsi"/>
        </w:rPr>
        <w:t>should be established.</w:t>
      </w:r>
      <w:r w:rsidR="00B574BA">
        <w:rPr>
          <w:rFonts w:cstheme="minorHAnsi"/>
        </w:rPr>
        <w:t xml:space="preserve"> </w:t>
      </w:r>
      <w:r w:rsidR="00224C66">
        <w:t>F</w:t>
      </w:r>
      <w:r>
        <w:t>eedback on these issues is explored in Chapters 4 and 5, with a summary of the preferred model reflecting the outcomes of consultation set out in Chapter 6.</w:t>
      </w:r>
    </w:p>
    <w:p w14:paraId="13A5E781" w14:textId="0FE4CC45" w:rsidR="00055376" w:rsidRDefault="00055376" w:rsidP="00311B81">
      <w:pPr>
        <w:pStyle w:val="mpcbullets1"/>
        <w:numPr>
          <w:ilvl w:val="0"/>
          <w:numId w:val="0"/>
        </w:numPr>
        <w:rPr>
          <w:rFonts w:cstheme="minorHAnsi"/>
        </w:rPr>
      </w:pPr>
    </w:p>
    <w:p w14:paraId="577D1F7F" w14:textId="7514A4CD" w:rsidR="00055376" w:rsidRDefault="00055376" w:rsidP="00311B81">
      <w:pPr>
        <w:pStyle w:val="mpcbullets1"/>
        <w:numPr>
          <w:ilvl w:val="0"/>
          <w:numId w:val="0"/>
        </w:numPr>
        <w:rPr>
          <w:rFonts w:cstheme="minorHAnsi"/>
        </w:rPr>
      </w:pPr>
      <w:r>
        <w:rPr>
          <w:rFonts w:cstheme="minorHAnsi"/>
        </w:rPr>
        <w:t>In</w:t>
      </w:r>
      <w:r w:rsidR="00EC3209">
        <w:rPr>
          <w:rFonts w:cstheme="minorHAnsi"/>
        </w:rPr>
        <w:t xml:space="preserve"> relation to the </w:t>
      </w:r>
      <w:r>
        <w:rPr>
          <w:rFonts w:cstheme="minorHAnsi"/>
        </w:rPr>
        <w:t xml:space="preserve">implementation </w:t>
      </w:r>
      <w:r w:rsidR="00EC3209">
        <w:rPr>
          <w:rFonts w:cstheme="minorHAnsi"/>
        </w:rPr>
        <w:t xml:space="preserve">of any worker regulation scheme, </w:t>
      </w:r>
      <w:r>
        <w:rPr>
          <w:rFonts w:cstheme="minorHAnsi"/>
        </w:rPr>
        <w:t xml:space="preserve">stakeholders </w:t>
      </w:r>
      <w:r w:rsidR="00EC3209">
        <w:rPr>
          <w:rFonts w:cstheme="minorHAnsi"/>
        </w:rPr>
        <w:t>highlighted the need for further consideration of</w:t>
      </w:r>
      <w:r>
        <w:rPr>
          <w:rFonts w:cstheme="minorHAnsi"/>
        </w:rPr>
        <w:t>:</w:t>
      </w:r>
    </w:p>
    <w:p w14:paraId="7EE79709" w14:textId="77777777" w:rsidR="00055376" w:rsidRPr="0055114F" w:rsidRDefault="00055376" w:rsidP="00311B81">
      <w:pPr>
        <w:pStyle w:val="mpcbullets1"/>
        <w:numPr>
          <w:ilvl w:val="0"/>
          <w:numId w:val="0"/>
        </w:numPr>
        <w:rPr>
          <w:rFonts w:cstheme="minorHAnsi"/>
        </w:rPr>
      </w:pPr>
    </w:p>
    <w:p w14:paraId="553B35F7" w14:textId="22457388" w:rsidR="00055376" w:rsidRPr="00200350" w:rsidRDefault="00055376" w:rsidP="00200350">
      <w:pPr>
        <w:pStyle w:val="mpcbullets1"/>
      </w:pPr>
      <w:r w:rsidRPr="00200350">
        <w:t xml:space="preserve">the legislative basis for any such scheme and mechanisms for requiring compliance (noting the Constitutional considerations of extending aged care regulation </w:t>
      </w:r>
      <w:r w:rsidR="00F27301" w:rsidRPr="00200350">
        <w:t xml:space="preserve">from </w:t>
      </w:r>
      <w:r w:rsidR="0096157A" w:rsidRPr="00200350">
        <w:t xml:space="preserve">providers </w:t>
      </w:r>
      <w:r w:rsidRPr="00200350">
        <w:t>to</w:t>
      </w:r>
      <w:r w:rsidR="008248CB" w:rsidRPr="00200350">
        <w:t xml:space="preserve"> also include</w:t>
      </w:r>
      <w:r w:rsidRPr="00200350">
        <w:t xml:space="preserve"> individual workers) </w:t>
      </w:r>
    </w:p>
    <w:p w14:paraId="4743469E" w14:textId="77777777" w:rsidR="00A84653" w:rsidRPr="00200350" w:rsidRDefault="00A84653" w:rsidP="00200350">
      <w:pPr>
        <w:pStyle w:val="mpcbullets1"/>
      </w:pPr>
      <w:r w:rsidRPr="00200350">
        <w:t xml:space="preserve">the supporting infrastructure needed to establish and sustain a national scheme across a sizable workforce </w:t>
      </w:r>
    </w:p>
    <w:p w14:paraId="5B922A55" w14:textId="340351D9" w:rsidR="00055376" w:rsidRPr="00200350" w:rsidRDefault="00055376" w:rsidP="00200350">
      <w:pPr>
        <w:pStyle w:val="mpcbullets1"/>
      </w:pPr>
      <w:r w:rsidRPr="00200350">
        <w:t>operational considerations, including how worker screening would be undertaken</w:t>
      </w:r>
      <w:r w:rsidR="00A84653" w:rsidRPr="00200350">
        <w:t xml:space="preserve"> and the practicalities of drawing on existing infrastructure</w:t>
      </w:r>
    </w:p>
    <w:p w14:paraId="4B94FD9E" w14:textId="77777777" w:rsidR="00A84653" w:rsidRPr="00200350" w:rsidRDefault="00055376" w:rsidP="00200350">
      <w:pPr>
        <w:pStyle w:val="mpcbullets1"/>
      </w:pPr>
      <w:r w:rsidRPr="00200350">
        <w:t>the costs associated with establishing any new regulatory body or expanding the capacity of a current regulator to accommodate the worker regulation scheme</w:t>
      </w:r>
    </w:p>
    <w:p w14:paraId="307CC831" w14:textId="7E67B198" w:rsidR="00055376" w:rsidRPr="00200350" w:rsidRDefault="00A84653" w:rsidP="00200350">
      <w:pPr>
        <w:pStyle w:val="mpcbullets1"/>
      </w:pPr>
      <w:r w:rsidRPr="00200350">
        <w:t xml:space="preserve">the role of government </w:t>
      </w:r>
      <w:r w:rsidR="00EC3209" w:rsidRPr="00200350">
        <w:t xml:space="preserve">compared to that of </w:t>
      </w:r>
      <w:r w:rsidRPr="00200350">
        <w:t>industry</w:t>
      </w:r>
      <w:r w:rsidR="005E181B" w:rsidRPr="00200350">
        <w:t>, and</w:t>
      </w:r>
      <w:r w:rsidR="00055376" w:rsidRPr="00200350">
        <w:t xml:space="preserve"> </w:t>
      </w:r>
    </w:p>
    <w:p w14:paraId="0841FAEC" w14:textId="204D811F" w:rsidR="00B574BA" w:rsidRPr="00200350" w:rsidRDefault="00055376" w:rsidP="00200350">
      <w:pPr>
        <w:pStyle w:val="mpcbullets1"/>
      </w:pPr>
      <w:r w:rsidRPr="00200350">
        <w:t xml:space="preserve">the arrangements for engaging with existing schemes and bodies (e.g. </w:t>
      </w:r>
      <w:r w:rsidR="00B7136D" w:rsidRPr="00200350">
        <w:t xml:space="preserve">the </w:t>
      </w:r>
      <w:r w:rsidRPr="00200350">
        <w:t xml:space="preserve">NDIS </w:t>
      </w:r>
      <w:r w:rsidR="00B7136D" w:rsidRPr="00200350">
        <w:t xml:space="preserve">Quality and Safeguards </w:t>
      </w:r>
      <w:r w:rsidR="0038315D" w:rsidRPr="00200350">
        <w:t>Commission</w:t>
      </w:r>
      <w:r w:rsidRPr="00200350">
        <w:t xml:space="preserve">, </w:t>
      </w:r>
      <w:r w:rsidR="00B7136D" w:rsidRPr="00200350">
        <w:t>the national boards under the National Registration and Accreditation Scheme</w:t>
      </w:r>
      <w:r w:rsidRPr="00200350">
        <w:t>, health complaints entities).</w:t>
      </w:r>
    </w:p>
    <w:p w14:paraId="16F2EA39" w14:textId="77777777" w:rsidR="0027040B" w:rsidRPr="00055376" w:rsidRDefault="0027040B" w:rsidP="00B574BA">
      <w:pPr>
        <w:pStyle w:val="mpcbullets1"/>
        <w:numPr>
          <w:ilvl w:val="0"/>
          <w:numId w:val="0"/>
        </w:numPr>
        <w:rPr>
          <w:rFonts w:cstheme="minorHAnsi"/>
        </w:rPr>
      </w:pPr>
    </w:p>
    <w:tbl>
      <w:tblPr>
        <w:tblStyle w:val="TableGrid"/>
        <w:tblW w:w="0" w:type="auto"/>
        <w:tblLook w:val="04A0" w:firstRow="1" w:lastRow="0" w:firstColumn="1" w:lastColumn="0" w:noHBand="0" w:noVBand="1"/>
      </w:tblPr>
      <w:tblGrid>
        <w:gridCol w:w="9736"/>
      </w:tblGrid>
      <w:tr w:rsidR="0081006A" w:rsidRPr="00CC1ADD" w14:paraId="3801EC7B" w14:textId="77777777" w:rsidTr="001D00D8">
        <w:trPr>
          <w:trHeight w:val="1100"/>
        </w:trPr>
        <w:tc>
          <w:tcPr>
            <w:tcW w:w="9736" w:type="dxa"/>
            <w:shd w:val="clear" w:color="auto" w:fill="D9E2F3" w:themeFill="accent1" w:themeFillTint="33"/>
            <w:vAlign w:val="center"/>
          </w:tcPr>
          <w:p w14:paraId="58C27B52" w14:textId="57E1D006" w:rsidR="0081006A" w:rsidRPr="00CC1ADD" w:rsidRDefault="0081006A" w:rsidP="00311B81">
            <w:pPr>
              <w:pStyle w:val="mpcNormal"/>
            </w:pPr>
            <w:r w:rsidRPr="00CC1ADD">
              <w:t xml:space="preserve">We sincerely thank </w:t>
            </w:r>
            <w:r>
              <w:t>stakeholders</w:t>
            </w:r>
            <w:r w:rsidRPr="00CC1ADD">
              <w:t xml:space="preserve"> who have</w:t>
            </w:r>
            <w:r>
              <w:t xml:space="preserve"> provide</w:t>
            </w:r>
            <w:r w:rsidR="001D00D8">
              <w:t>d</w:t>
            </w:r>
            <w:r>
              <w:t xml:space="preserve"> feedback and</w:t>
            </w:r>
            <w:r w:rsidRPr="00CC1ADD">
              <w:t xml:space="preserve"> shared their expertise to inform</w:t>
            </w:r>
            <w:r w:rsidR="001D00D8">
              <w:t xml:space="preserve"> and support</w:t>
            </w:r>
            <w:r w:rsidRPr="00CC1ADD">
              <w:t xml:space="preserve"> th</w:t>
            </w:r>
            <w:r w:rsidR="001D00D8">
              <w:t>e</w:t>
            </w:r>
            <w:r>
              <w:t xml:space="preserve"> further development of an aged care worker regulation scheme</w:t>
            </w:r>
            <w:r w:rsidRPr="00CC1ADD">
              <w:t xml:space="preserve">. </w:t>
            </w:r>
          </w:p>
        </w:tc>
      </w:tr>
    </w:tbl>
    <w:p w14:paraId="46336D85" w14:textId="77777777" w:rsidR="005B3A39" w:rsidRDefault="005B3A39">
      <w:pPr>
        <w:rPr>
          <w:b/>
          <w:sz w:val="36"/>
          <w:szCs w:val="36"/>
        </w:rPr>
      </w:pPr>
      <w:bookmarkStart w:id="7" w:name="_Toc45868434"/>
      <w:r>
        <w:br w:type="page"/>
      </w:r>
    </w:p>
    <w:p w14:paraId="51D08F3E" w14:textId="3494A966" w:rsidR="00556226" w:rsidRDefault="005B1BEB" w:rsidP="00722E63">
      <w:pPr>
        <w:pStyle w:val="mpcheading1"/>
      </w:pPr>
      <w:bookmarkStart w:id="8" w:name="_Toc49253228"/>
      <w:r w:rsidRPr="003E4598">
        <w:lastRenderedPageBreak/>
        <w:t xml:space="preserve">Chapter 1 – </w:t>
      </w:r>
      <w:r w:rsidR="00A00C4B" w:rsidRPr="003E4598">
        <w:t>Context</w:t>
      </w:r>
      <w:bookmarkEnd w:id="5"/>
      <w:bookmarkEnd w:id="7"/>
      <w:bookmarkEnd w:id="8"/>
    </w:p>
    <w:p w14:paraId="53F57894" w14:textId="10119EDC" w:rsidR="002966DC" w:rsidRDefault="002966DC" w:rsidP="007C36E4">
      <w:pPr>
        <w:pStyle w:val="mpcheading2"/>
      </w:pPr>
      <w:bookmarkStart w:id="9" w:name="_Toc45868436"/>
      <w:bookmarkStart w:id="10" w:name="_Toc49253229"/>
      <w:r>
        <w:t>Background</w:t>
      </w:r>
      <w:bookmarkEnd w:id="9"/>
      <w:bookmarkEnd w:id="10"/>
      <w:r>
        <w:t xml:space="preserve"> </w:t>
      </w:r>
    </w:p>
    <w:p w14:paraId="0B1F969E" w14:textId="6E3460C3" w:rsidR="002966DC" w:rsidRDefault="002966DC" w:rsidP="007C36E4">
      <w:pPr>
        <w:pStyle w:val="mpcNormal"/>
        <w:spacing w:after="0"/>
        <w:rPr>
          <w:rFonts w:cstheme="minorHAnsi"/>
        </w:rPr>
      </w:pPr>
      <w:r w:rsidRPr="00DB362C">
        <w:rPr>
          <w:rFonts w:cstheme="minorHAnsi"/>
        </w:rPr>
        <w:t xml:space="preserve">Over the last five years, various inquiries and reports have recommended implementation of a worker screening or registration </w:t>
      </w:r>
      <w:r>
        <w:rPr>
          <w:rFonts w:cstheme="minorHAnsi"/>
        </w:rPr>
        <w:t>scheme</w:t>
      </w:r>
      <w:r w:rsidRPr="00DB362C">
        <w:rPr>
          <w:rFonts w:cstheme="minorHAnsi"/>
        </w:rPr>
        <w:t xml:space="preserve"> in aged care</w:t>
      </w:r>
      <w:r>
        <w:rPr>
          <w:rFonts w:cstheme="minorHAnsi"/>
        </w:rPr>
        <w:t>:</w:t>
      </w:r>
    </w:p>
    <w:p w14:paraId="336B36BE" w14:textId="01928A8E" w:rsidR="002966DC" w:rsidRPr="00DB362C" w:rsidRDefault="002966DC" w:rsidP="007C36E4">
      <w:pPr>
        <w:pStyle w:val="mpcNormal"/>
        <w:spacing w:after="0"/>
        <w:rPr>
          <w:rFonts w:cstheme="minorHAnsi"/>
        </w:rPr>
      </w:pPr>
    </w:p>
    <w:p w14:paraId="41E256DE" w14:textId="041E8583" w:rsidR="00F05A00" w:rsidRPr="00DB362C" w:rsidRDefault="00F05A00" w:rsidP="00200350">
      <w:pPr>
        <w:pStyle w:val="mpcbullets1"/>
      </w:pPr>
      <w:r w:rsidRPr="00DB362C">
        <w:t xml:space="preserve">In 2016, a Senate Committee recommended that the </w:t>
      </w:r>
      <w:r>
        <w:t>g</w:t>
      </w:r>
      <w:r w:rsidRPr="00DB362C">
        <w:t xml:space="preserve">overnment examine workforce regulation across all carer service sectors, and that it include: a national employment screening or worker registration scheme; the full implementation of the National Code of Conduct for Health Care Workers; nationally consistent accreditation standards; </w:t>
      </w:r>
      <w:r w:rsidR="00B7136D">
        <w:t>CPD</w:t>
      </w:r>
      <w:r w:rsidRPr="00DB362C">
        <w:t xml:space="preserve"> requirements; an excluded worker scheme, and workplace regulation of minimum duration for new worker training.</w:t>
      </w:r>
      <w:r w:rsidRPr="00DB362C">
        <w:rPr>
          <w:rStyle w:val="FootnoteReference"/>
          <w:rFonts w:cstheme="minorHAnsi"/>
        </w:rPr>
        <w:footnoteReference w:id="2"/>
      </w:r>
    </w:p>
    <w:p w14:paraId="232B4B68" w14:textId="77777777" w:rsidR="00F05A00" w:rsidRPr="00DB362C" w:rsidRDefault="00F05A00" w:rsidP="007C36E4">
      <w:pPr>
        <w:pStyle w:val="NormalWeb"/>
        <w:spacing w:before="0" w:beforeAutospacing="0" w:after="0" w:afterAutospacing="0"/>
        <w:ind w:left="360"/>
        <w:rPr>
          <w:rFonts w:cstheme="minorHAnsi"/>
        </w:rPr>
      </w:pPr>
    </w:p>
    <w:p w14:paraId="4EF89691" w14:textId="77777777" w:rsidR="00F05A00" w:rsidRPr="00DB362C" w:rsidRDefault="00F05A00" w:rsidP="007C36E4">
      <w:pPr>
        <w:pStyle w:val="mpcbullets1"/>
      </w:pPr>
      <w:r w:rsidRPr="00DB362C">
        <w:t xml:space="preserve">In the 2017 report, </w:t>
      </w:r>
      <w:r w:rsidRPr="00DB362C">
        <w:rPr>
          <w:i/>
          <w:iCs/>
        </w:rPr>
        <w:t>Elder Abuse – A National Response</w:t>
      </w:r>
      <w:r w:rsidRPr="00DB362C">
        <w:t>, the Australian Law Reform Commission recommended the implementation of a national employment screening process for potential workers and volunteers in Commonwealth-regulated aged care.</w:t>
      </w:r>
      <w:r w:rsidRPr="00DB362C">
        <w:rPr>
          <w:rStyle w:val="FootnoteReference"/>
          <w:rFonts w:cstheme="minorHAnsi"/>
        </w:rPr>
        <w:footnoteReference w:id="3"/>
      </w:r>
      <w:r w:rsidRPr="00DB362C">
        <w:t xml:space="preserve"> </w:t>
      </w:r>
    </w:p>
    <w:p w14:paraId="31B524F3" w14:textId="77777777" w:rsidR="00F05A00" w:rsidRPr="00DB362C" w:rsidRDefault="00F05A00" w:rsidP="007C36E4">
      <w:pPr>
        <w:pStyle w:val="mpcNormal"/>
        <w:spacing w:after="0"/>
        <w:rPr>
          <w:rFonts w:cstheme="minorHAnsi"/>
        </w:rPr>
      </w:pPr>
    </w:p>
    <w:p w14:paraId="0D5743D0" w14:textId="3DFD5B63" w:rsidR="00F05A00" w:rsidRPr="00DB362C" w:rsidRDefault="00F05A00" w:rsidP="007C36E4">
      <w:pPr>
        <w:pStyle w:val="mpcbullets1"/>
      </w:pPr>
      <w:r w:rsidRPr="00DB362C">
        <w:t>Numerous stakeholders have commented on the desirability of national regulation for aged care workers (particularly PCWs) before the Royal Commission and past Senate Committee</w:t>
      </w:r>
      <w:r w:rsidR="005B3A39">
        <w:t>s</w:t>
      </w:r>
      <w:r w:rsidRPr="00DB362C">
        <w:t>.</w:t>
      </w:r>
      <w:r w:rsidR="00D736DF">
        <w:rPr>
          <w:rStyle w:val="FootnoteReference"/>
        </w:rPr>
        <w:footnoteReference w:id="4"/>
      </w:r>
      <w:r w:rsidRPr="00DB362C">
        <w:t xml:space="preserve"> </w:t>
      </w:r>
    </w:p>
    <w:p w14:paraId="67D14B9E" w14:textId="77777777" w:rsidR="00F05A00" w:rsidRPr="00DB362C" w:rsidRDefault="00F05A00" w:rsidP="007C36E4">
      <w:pPr>
        <w:pStyle w:val="NormalWeb"/>
        <w:spacing w:before="0" w:beforeAutospacing="0" w:after="0" w:afterAutospacing="0"/>
        <w:rPr>
          <w:rFonts w:cstheme="minorHAnsi"/>
        </w:rPr>
      </w:pPr>
    </w:p>
    <w:p w14:paraId="634ECA0F" w14:textId="7D7ACECD" w:rsidR="00F05A00" w:rsidRPr="00DB362C" w:rsidRDefault="009E47FB" w:rsidP="007C36E4">
      <w:pPr>
        <w:pStyle w:val="mpcbullets1"/>
      </w:pPr>
      <w:r>
        <w:t xml:space="preserve">The </w:t>
      </w:r>
      <w:r w:rsidR="00F05A00" w:rsidRPr="00DB362C">
        <w:t xml:space="preserve">Aged Care Workforce Taskforce proposed in the report </w:t>
      </w:r>
      <w:r w:rsidR="00F05A00" w:rsidRPr="00DB362C">
        <w:rPr>
          <w:i/>
          <w:iCs/>
        </w:rPr>
        <w:t>A Matter of Care</w:t>
      </w:r>
      <w:r w:rsidR="00F05A00" w:rsidRPr="00DB362C">
        <w:t xml:space="preserve"> that the Aged Services Industry Council consider existing accreditation frameworks and codes of conduct and consider </w:t>
      </w:r>
      <w:r w:rsidR="00B7136D">
        <w:t>“</w:t>
      </w:r>
      <w:r w:rsidR="00F05A00" w:rsidRPr="00DB362C">
        <w:t>centralising registration for all care staff and volunteers to ensure that all workers have completed mandatory police checks (as already required) and are trained and accredited to work with aged care consumers</w:t>
      </w:r>
      <w:r w:rsidR="00B7136D">
        <w:t>”</w:t>
      </w:r>
      <w:r w:rsidR="00F05A00" w:rsidRPr="00DB362C">
        <w:t>.</w:t>
      </w:r>
      <w:r w:rsidR="00F05A00" w:rsidRPr="00DB362C">
        <w:rPr>
          <w:rStyle w:val="FootnoteReference"/>
          <w:rFonts w:cstheme="minorHAnsi"/>
        </w:rPr>
        <w:footnoteReference w:id="5"/>
      </w:r>
    </w:p>
    <w:p w14:paraId="60AA7D3C" w14:textId="77777777" w:rsidR="00F05A00" w:rsidRPr="00DB362C" w:rsidRDefault="00F05A00" w:rsidP="007C36E4">
      <w:pPr>
        <w:pStyle w:val="NormalWeb"/>
        <w:spacing w:before="0" w:beforeAutospacing="0" w:after="0" w:afterAutospacing="0"/>
        <w:rPr>
          <w:rFonts w:eastAsiaTheme="minorHAnsi" w:cstheme="minorHAnsi"/>
          <w:lang w:eastAsia="en-US"/>
        </w:rPr>
      </w:pPr>
    </w:p>
    <w:p w14:paraId="07935432" w14:textId="21F49DE7" w:rsidR="00F05A00" w:rsidRPr="00DB362C" w:rsidRDefault="00F05A00" w:rsidP="007C36E4">
      <w:pPr>
        <w:pStyle w:val="mpcbullets1"/>
      </w:pPr>
      <w:r w:rsidRPr="00DB362C">
        <w:t xml:space="preserve">Counsel </w:t>
      </w:r>
      <w:r w:rsidRPr="00060E60">
        <w:t>Assisting</w:t>
      </w:r>
      <w:r w:rsidRPr="00DB362C">
        <w:t xml:space="preserve"> the Royal Commission has suggested that the Commissioners make final recommendations regarding unregulated care workers (specifically PCWs) </w:t>
      </w:r>
      <w:r w:rsidR="005B3A39">
        <w:t>being</w:t>
      </w:r>
      <w:r w:rsidRPr="00DB362C">
        <w:t xml:space="preserve"> subject to a registration process with a minimum mandatory qualification as an entry requirement.</w:t>
      </w:r>
      <w:r w:rsidRPr="00DB362C">
        <w:rPr>
          <w:rStyle w:val="FootnoteReference"/>
          <w:rFonts w:cstheme="minorHAnsi"/>
        </w:rPr>
        <w:footnoteReference w:id="6"/>
      </w:r>
    </w:p>
    <w:p w14:paraId="5D6CE5EF" w14:textId="45F8DE3D" w:rsidR="008C3EF2" w:rsidRDefault="00B72299" w:rsidP="007C36E4">
      <w:pPr>
        <w:pStyle w:val="mpcNormal"/>
        <w:spacing w:after="0"/>
        <w:rPr>
          <w:rFonts w:cstheme="minorHAnsi"/>
        </w:rPr>
      </w:pPr>
      <w:r>
        <w:rPr>
          <w:rFonts w:cstheme="minorHAnsi"/>
        </w:rPr>
        <w:t xml:space="preserve"> </w:t>
      </w:r>
    </w:p>
    <w:p w14:paraId="004A180C" w14:textId="6BBFC375" w:rsidR="0011322C" w:rsidRDefault="0011322C" w:rsidP="0011322C">
      <w:pPr>
        <w:pStyle w:val="mpcheading2"/>
      </w:pPr>
      <w:bookmarkStart w:id="11" w:name="_Toc45868437"/>
      <w:bookmarkStart w:id="12" w:name="_Toc49253230"/>
      <w:r>
        <w:t>Conduct and scope of project</w:t>
      </w:r>
      <w:bookmarkEnd w:id="11"/>
      <w:bookmarkEnd w:id="12"/>
    </w:p>
    <w:p w14:paraId="1BF659AC" w14:textId="583F1B94" w:rsidR="0011322C" w:rsidRDefault="00556226" w:rsidP="007C36E4">
      <w:pPr>
        <w:pStyle w:val="mpcNormal"/>
        <w:spacing w:after="0"/>
      </w:pPr>
      <w:r>
        <w:t>Against this background, in</w:t>
      </w:r>
      <w:r w:rsidRPr="005520CF">
        <w:t xml:space="preserve"> </w:t>
      </w:r>
      <w:r>
        <w:t>February 2020</w:t>
      </w:r>
      <w:r w:rsidRPr="005520CF">
        <w:t xml:space="preserve">, the </w:t>
      </w:r>
      <w:r>
        <w:t>department engaged mpconsulting to</w:t>
      </w:r>
      <w:r w:rsidR="0011322C">
        <w:t>:</w:t>
      </w:r>
    </w:p>
    <w:p w14:paraId="2BEB74F6" w14:textId="77777777" w:rsidR="006A733C" w:rsidRDefault="006A733C" w:rsidP="007C36E4">
      <w:pPr>
        <w:pStyle w:val="mpcNormal"/>
        <w:spacing w:after="0"/>
      </w:pPr>
    </w:p>
    <w:p w14:paraId="21420978" w14:textId="77777777" w:rsidR="0011322C" w:rsidRDefault="0011322C" w:rsidP="00200350">
      <w:pPr>
        <w:pStyle w:val="mpcbullets1"/>
      </w:pPr>
      <w:r>
        <w:t>e</w:t>
      </w:r>
      <w:r w:rsidR="00D91F01" w:rsidRPr="00D91F01">
        <w:t xml:space="preserve">xplore the </w:t>
      </w:r>
      <w:r w:rsidR="00F60032">
        <w:t xml:space="preserve">gaps </w:t>
      </w:r>
      <w:r w:rsidR="00D91F01">
        <w:t xml:space="preserve">within the </w:t>
      </w:r>
      <w:r w:rsidR="00F60032">
        <w:t xml:space="preserve">current </w:t>
      </w:r>
      <w:r w:rsidR="00D91F01">
        <w:t>regulatory environment</w:t>
      </w:r>
      <w:r>
        <w:t xml:space="preserve"> </w:t>
      </w:r>
    </w:p>
    <w:p w14:paraId="61A77526" w14:textId="1B32BC5D" w:rsidR="0011322C" w:rsidRDefault="0011322C" w:rsidP="00200350">
      <w:pPr>
        <w:pStyle w:val="mpcbullets1"/>
      </w:pPr>
      <w:r>
        <w:t>d</w:t>
      </w:r>
      <w:r w:rsidR="00D91F01" w:rsidRPr="00D91F01">
        <w:t xml:space="preserve">efine the </w:t>
      </w:r>
      <w:r w:rsidR="00D91F01">
        <w:t>objectives</w:t>
      </w:r>
      <w:r w:rsidR="00D91F01" w:rsidRPr="00D91F01">
        <w:t xml:space="preserve"> </w:t>
      </w:r>
      <w:r w:rsidR="009E47FB">
        <w:t xml:space="preserve">of any </w:t>
      </w:r>
      <w:r w:rsidR="00D91F01" w:rsidRPr="00D91F01">
        <w:t xml:space="preserve">worker </w:t>
      </w:r>
      <w:r w:rsidR="00D91F01">
        <w:t>regulation scheme</w:t>
      </w:r>
    </w:p>
    <w:p w14:paraId="4F791B5D" w14:textId="77777777" w:rsidR="0011322C" w:rsidRPr="0011322C" w:rsidRDefault="0011322C" w:rsidP="00200350">
      <w:pPr>
        <w:pStyle w:val="mpcbullets1"/>
      </w:pPr>
      <w:r>
        <w:t xml:space="preserve">develop possible options </w:t>
      </w:r>
      <w:r>
        <w:rPr>
          <w:rFonts w:cstheme="minorHAnsi"/>
        </w:rPr>
        <w:t>for an aged care worker regulation scheme</w:t>
      </w:r>
    </w:p>
    <w:p w14:paraId="0DA5EC75" w14:textId="40BDB701" w:rsidR="0011322C" w:rsidRPr="0011322C" w:rsidRDefault="0011322C" w:rsidP="00200350">
      <w:pPr>
        <w:pStyle w:val="mpcbullets1"/>
      </w:pPr>
      <w:r>
        <w:rPr>
          <w:rFonts w:cstheme="minorHAnsi"/>
        </w:rPr>
        <w:lastRenderedPageBreak/>
        <w:t>consult on possible options, and</w:t>
      </w:r>
    </w:p>
    <w:p w14:paraId="69F09D71" w14:textId="7A8DF5B5" w:rsidR="0011322C" w:rsidRPr="0011322C" w:rsidRDefault="0011322C" w:rsidP="00200350">
      <w:pPr>
        <w:pStyle w:val="mpcbullets1"/>
      </w:pPr>
      <w:r>
        <w:rPr>
          <w:rFonts w:cstheme="minorHAnsi"/>
        </w:rPr>
        <w:t xml:space="preserve">provide further advice informed by the outcomes of consultation. </w:t>
      </w:r>
    </w:p>
    <w:p w14:paraId="65A72167" w14:textId="66369BD4" w:rsidR="006A733C" w:rsidRDefault="0011322C" w:rsidP="0011322C">
      <w:pPr>
        <w:pStyle w:val="mpcNormal"/>
        <w:spacing w:after="0"/>
      </w:pPr>
      <w:r>
        <w:rPr>
          <w:rFonts w:cstheme="minorHAnsi"/>
        </w:rPr>
        <w:br/>
      </w:r>
      <w:r w:rsidR="00D91F01">
        <w:t>This involved e</w:t>
      </w:r>
      <w:r w:rsidR="00D91F01" w:rsidRPr="00D91F01">
        <w:t>xamining the findings and recommendations of recent inquiries into abuse, mistreatment and consumer safety issues related to workforce</w:t>
      </w:r>
      <w:r w:rsidR="006A733C">
        <w:t xml:space="preserve">, </w:t>
      </w:r>
      <w:r w:rsidR="00892795">
        <w:t>considering</w:t>
      </w:r>
      <w:r w:rsidR="00D91F01" w:rsidRPr="00D91F01">
        <w:t xml:space="preserve"> existing and proposed aged care measures to safeguard </w:t>
      </w:r>
      <w:r w:rsidR="00D91F01">
        <w:t>consumers</w:t>
      </w:r>
      <w:r w:rsidR="00D91F01" w:rsidRPr="00D91F01">
        <w:t xml:space="preserve"> (e.g. the Aged Care Quality Standards</w:t>
      </w:r>
      <w:r w:rsidR="005B3A39">
        <w:t xml:space="preserve"> and </w:t>
      </w:r>
      <w:r w:rsidR="00D91F01" w:rsidRPr="00D91F01">
        <w:t xml:space="preserve">the proposed </w:t>
      </w:r>
      <w:r w:rsidR="00732CE8">
        <w:t xml:space="preserve">Serious Incident Response Scheme (SIRS) </w:t>
      </w:r>
      <w:r w:rsidR="00D91F01" w:rsidRPr="00D91F01">
        <w:t>for residential care</w:t>
      </w:r>
      <w:r w:rsidR="00B7136D">
        <w:t>, etc.</w:t>
      </w:r>
      <w:r w:rsidR="00D91F01">
        <w:t>)</w:t>
      </w:r>
      <w:r w:rsidR="006A733C">
        <w:t xml:space="preserve"> and </w:t>
      </w:r>
      <w:r w:rsidR="00D91F01" w:rsidRPr="00D91F01">
        <w:t xml:space="preserve">analysing </w:t>
      </w:r>
      <w:r w:rsidR="005B3A39">
        <w:t xml:space="preserve">worker </w:t>
      </w:r>
      <w:r w:rsidR="00D91F01" w:rsidRPr="00D91F01">
        <w:t>regulat</w:t>
      </w:r>
      <w:r w:rsidR="005B3A39">
        <w:t xml:space="preserve">ion </w:t>
      </w:r>
      <w:r w:rsidR="00D91F01" w:rsidRPr="00D91F01">
        <w:t>in other care sectors (e.g. health, disability</w:t>
      </w:r>
      <w:r w:rsidR="00D91F01">
        <w:t xml:space="preserve"> and</w:t>
      </w:r>
      <w:r w:rsidR="00D91F01" w:rsidRPr="00D91F01">
        <w:t xml:space="preserve"> childcare)</w:t>
      </w:r>
      <w:r w:rsidR="00B7136D">
        <w:t>.</w:t>
      </w:r>
    </w:p>
    <w:p w14:paraId="484BE5DD" w14:textId="77777777" w:rsidR="00701E69" w:rsidRPr="00701E69" w:rsidRDefault="00701E69" w:rsidP="007C36E4">
      <w:pPr>
        <w:pStyle w:val="mpcNormal"/>
        <w:spacing w:after="0"/>
      </w:pPr>
    </w:p>
    <w:p w14:paraId="1A907378" w14:textId="53D1B1F1" w:rsidR="00701E69" w:rsidRPr="00701E69" w:rsidRDefault="00701E69" w:rsidP="007C36E4">
      <w:pPr>
        <w:pStyle w:val="mpcNormal"/>
        <w:spacing w:after="0"/>
      </w:pPr>
      <w:r w:rsidRPr="00701E69">
        <w:t>Initial discussions were also had with key stakeholders including relevant statutory bodies</w:t>
      </w:r>
      <w:r w:rsidR="002637C1">
        <w:t>, professional bodies and sector committees,</w:t>
      </w:r>
      <w:r w:rsidRPr="00701E69">
        <w:t xml:space="preserve"> to </w:t>
      </w:r>
      <w:r w:rsidR="006A733C">
        <w:t xml:space="preserve">develop proposed </w:t>
      </w:r>
      <w:r w:rsidRPr="00701E69">
        <w:t xml:space="preserve">objectives </w:t>
      </w:r>
      <w:r w:rsidR="006A733C">
        <w:t xml:space="preserve">for </w:t>
      </w:r>
      <w:r w:rsidR="005B3A39">
        <w:t>any</w:t>
      </w:r>
      <w:r w:rsidRPr="00701E69">
        <w:t xml:space="preserve"> worker regulation scheme.  </w:t>
      </w:r>
    </w:p>
    <w:p w14:paraId="54B091F9" w14:textId="77777777" w:rsidR="00701E69" w:rsidRPr="00701E69" w:rsidRDefault="00701E69" w:rsidP="007C36E4">
      <w:pPr>
        <w:pStyle w:val="mpcNormal"/>
        <w:spacing w:after="0"/>
      </w:pPr>
    </w:p>
    <w:p w14:paraId="39785DB8" w14:textId="0D40A07C" w:rsidR="00D23301" w:rsidRPr="00701E69" w:rsidRDefault="006A733C" w:rsidP="007C36E4">
      <w:pPr>
        <w:pStyle w:val="mpcNormal"/>
        <w:spacing w:after="0"/>
      </w:pPr>
      <w:r>
        <w:t>A</w:t>
      </w:r>
      <w:r w:rsidR="00701E69" w:rsidRPr="00701E69">
        <w:t xml:space="preserve"> Consultation Paper was drafted to summarise the context of the reform including the key issues and objectives, the existing models that could be drawn on </w:t>
      </w:r>
      <w:r>
        <w:t>(</w:t>
      </w:r>
      <w:r w:rsidR="00701E69" w:rsidRPr="00701E69">
        <w:t xml:space="preserve">and how they </w:t>
      </w:r>
      <w:r>
        <w:t>could potentially be applied</w:t>
      </w:r>
      <w:r w:rsidR="00AC79FB">
        <w:t xml:space="preserve"> </w:t>
      </w:r>
      <w:r w:rsidR="00701E69" w:rsidRPr="00701E69">
        <w:t>in aged care</w:t>
      </w:r>
      <w:r>
        <w:t>)</w:t>
      </w:r>
      <w:r w:rsidR="00701E69" w:rsidRPr="00701E69">
        <w:t xml:space="preserve">, and the </w:t>
      </w:r>
      <w:r w:rsidR="00701E69">
        <w:t xml:space="preserve">options in relation to specific </w:t>
      </w:r>
      <w:r w:rsidR="00701E69" w:rsidRPr="00701E69">
        <w:t xml:space="preserve">features of a </w:t>
      </w:r>
      <w:r w:rsidR="00701E69">
        <w:t>worker screening and/or registration scheme</w:t>
      </w:r>
      <w:r w:rsidR="00701E69" w:rsidRPr="00701E69">
        <w:t xml:space="preserve">.  </w:t>
      </w:r>
    </w:p>
    <w:p w14:paraId="05D74AD9" w14:textId="77777777" w:rsidR="00CB39A1" w:rsidRPr="00701E69" w:rsidRDefault="00CB39A1" w:rsidP="007C36E4">
      <w:pPr>
        <w:pStyle w:val="mpcNormal"/>
        <w:spacing w:after="0"/>
        <w:rPr>
          <w:rFonts w:cstheme="minorHAnsi"/>
        </w:rPr>
      </w:pPr>
    </w:p>
    <w:p w14:paraId="41F59ED7" w14:textId="027EBFE1" w:rsidR="00D66BC7" w:rsidRPr="000775B8" w:rsidRDefault="0029416B" w:rsidP="007C36E4">
      <w:pPr>
        <w:pStyle w:val="mpcNormal"/>
        <w:spacing w:after="0"/>
      </w:pPr>
      <w:r w:rsidRPr="00701E69">
        <w:t xml:space="preserve">On 18 May 2020, the </w:t>
      </w:r>
      <w:r w:rsidR="00E45AE7" w:rsidRPr="00701E69">
        <w:t>d</w:t>
      </w:r>
      <w:r w:rsidRPr="00701E69">
        <w:t>epartment released an online consultation</w:t>
      </w:r>
      <w:r w:rsidR="00701E69">
        <w:t xml:space="preserve"> survey</w:t>
      </w:r>
      <w:r w:rsidRPr="00701E69">
        <w:t xml:space="preserve"> seeking public comment on the </w:t>
      </w:r>
      <w:r w:rsidR="00CB39A1" w:rsidRPr="00701E69">
        <w:t>Consultation Paper</w:t>
      </w:r>
      <w:r w:rsidRPr="00701E69">
        <w:t xml:space="preserve">. </w:t>
      </w:r>
      <w:r w:rsidR="00701E69" w:rsidRPr="00701E69">
        <w:t xml:space="preserve">The online consultation comprised 17 questions about </w:t>
      </w:r>
      <w:r w:rsidR="00701E69">
        <w:t>the</w:t>
      </w:r>
      <w:r w:rsidR="00C11D0F">
        <w:t xml:space="preserve"> </w:t>
      </w:r>
      <w:r w:rsidR="003075D2">
        <w:t>possible</w:t>
      </w:r>
      <w:r w:rsidR="00701E69">
        <w:t xml:space="preserve"> features</w:t>
      </w:r>
      <w:r w:rsidR="00C11D0F">
        <w:t xml:space="preserve"> of any new scheme</w:t>
      </w:r>
      <w:r w:rsidR="00701E69">
        <w:t xml:space="preserve"> and </w:t>
      </w:r>
      <w:r w:rsidR="002E7352">
        <w:t xml:space="preserve">sought stakeholder input into </w:t>
      </w:r>
      <w:r w:rsidR="00701E69">
        <w:t>the advantages and disadvantages o</w:t>
      </w:r>
      <w:r w:rsidR="002E7352">
        <w:t xml:space="preserve">f incorporating </w:t>
      </w:r>
      <w:r w:rsidR="00701E69">
        <w:t>each</w:t>
      </w:r>
      <w:r w:rsidR="00B7136D">
        <w:t xml:space="preserve"> </w:t>
      </w:r>
      <w:r w:rsidR="00701E69">
        <w:t>feature.</w:t>
      </w:r>
      <w:r w:rsidR="00C11D0F">
        <w:t xml:space="preserve"> </w:t>
      </w:r>
      <w:r w:rsidR="00D23301" w:rsidRPr="00DB362C">
        <w:rPr>
          <w:rFonts w:cstheme="minorHAnsi"/>
        </w:rPr>
        <w:t>It focuse</w:t>
      </w:r>
      <w:r w:rsidR="00D23301">
        <w:rPr>
          <w:rFonts w:cstheme="minorHAnsi"/>
        </w:rPr>
        <w:t>d</w:t>
      </w:r>
      <w:r w:rsidR="00D23301" w:rsidRPr="00DB362C">
        <w:rPr>
          <w:rFonts w:cstheme="minorHAnsi"/>
        </w:rPr>
        <w:t xml:space="preserve"> on high level conceptual</w:t>
      </w:r>
      <w:r w:rsidR="00D23301">
        <w:rPr>
          <w:rFonts w:cstheme="minorHAnsi"/>
        </w:rPr>
        <w:t xml:space="preserve"> regulatory</w:t>
      </w:r>
      <w:r w:rsidR="00D23301" w:rsidRPr="00DB362C">
        <w:rPr>
          <w:rFonts w:cstheme="minorHAnsi"/>
        </w:rPr>
        <w:t xml:space="preserve"> approaches to</w:t>
      </w:r>
      <w:r w:rsidR="00D23301">
        <w:rPr>
          <w:rFonts w:cstheme="minorHAnsi"/>
        </w:rPr>
        <w:t xml:space="preserve"> gain </w:t>
      </w:r>
      <w:r w:rsidR="00D23301" w:rsidRPr="00DB362C">
        <w:rPr>
          <w:rFonts w:cstheme="minorHAnsi"/>
        </w:rPr>
        <w:t>stakeholder</w:t>
      </w:r>
      <w:r w:rsidR="00D23301">
        <w:rPr>
          <w:rFonts w:cstheme="minorHAnsi"/>
        </w:rPr>
        <w:t xml:space="preserve"> views as to the objectives of any new worker screening or registration scheme</w:t>
      </w:r>
      <w:r w:rsidR="002E7352">
        <w:rPr>
          <w:rFonts w:cstheme="minorHAnsi"/>
        </w:rPr>
        <w:t>,</w:t>
      </w:r>
      <w:r w:rsidR="00D23301">
        <w:rPr>
          <w:rFonts w:cstheme="minorHAnsi"/>
        </w:rPr>
        <w:t xml:space="preserve"> and to understand stakeholder</w:t>
      </w:r>
      <w:r w:rsidR="00D23301" w:rsidRPr="00DB362C">
        <w:rPr>
          <w:rFonts w:cstheme="minorHAnsi"/>
        </w:rPr>
        <w:t xml:space="preserve"> preferences and concerns with any features of a potential model. </w:t>
      </w:r>
    </w:p>
    <w:p w14:paraId="752E4B33" w14:textId="77777777" w:rsidR="0029416B" w:rsidRDefault="0029416B">
      <w:pPr>
        <w:pStyle w:val="mpcbullets1"/>
        <w:numPr>
          <w:ilvl w:val="0"/>
          <w:numId w:val="0"/>
        </w:numPr>
      </w:pPr>
    </w:p>
    <w:p w14:paraId="0C07CA08" w14:textId="7ED45FDF" w:rsidR="0029416B" w:rsidRDefault="0029416B" w:rsidP="007C36E4">
      <w:pPr>
        <w:pStyle w:val="mpcNormal"/>
        <w:spacing w:after="0"/>
      </w:pPr>
      <w:r>
        <w:t>The</w:t>
      </w:r>
      <w:r w:rsidR="005B3A39">
        <w:t xml:space="preserve"> online</w:t>
      </w:r>
      <w:r>
        <w:t xml:space="preserve"> consultation was open from 18 May 2020 to 29 June 2020</w:t>
      </w:r>
      <w:r w:rsidR="005B3A39">
        <w:t xml:space="preserve">, and </w:t>
      </w:r>
      <w:r>
        <w:t xml:space="preserve"> </w:t>
      </w:r>
      <w:r w:rsidR="00DD7C4E">
        <w:t>2</w:t>
      </w:r>
      <w:r w:rsidR="005B3A39">
        <w:t xml:space="preserve">76 responses were received. </w:t>
      </w:r>
    </w:p>
    <w:p w14:paraId="1153C9A8" w14:textId="77777777" w:rsidR="000775B8" w:rsidRDefault="000775B8" w:rsidP="007C36E4">
      <w:pPr>
        <w:pStyle w:val="mpcNormal"/>
        <w:spacing w:after="0"/>
      </w:pPr>
    </w:p>
    <w:p w14:paraId="550CC712" w14:textId="44255EE1" w:rsidR="003075D2" w:rsidRDefault="0029416B" w:rsidP="007C36E4">
      <w:pPr>
        <w:pStyle w:val="mpcNormal"/>
        <w:spacing w:after="0"/>
      </w:pPr>
      <w:r>
        <w:t xml:space="preserve">In parallel to the online consultation, targeted </w:t>
      </w:r>
      <w:r w:rsidR="00F412F9">
        <w:t xml:space="preserve">stakeholder </w:t>
      </w:r>
      <w:r w:rsidR="000F4B8D">
        <w:t>forums</w:t>
      </w:r>
      <w:r>
        <w:t xml:space="preserve"> were held to provide further </w:t>
      </w:r>
      <w:r w:rsidR="000F4B8D">
        <w:t xml:space="preserve">opportunity to </w:t>
      </w:r>
      <w:r>
        <w:t xml:space="preserve">discuss the various </w:t>
      </w:r>
      <w:r w:rsidR="0052443D">
        <w:t xml:space="preserve">objectives, </w:t>
      </w:r>
      <w:r>
        <w:t xml:space="preserve">options </w:t>
      </w:r>
      <w:r w:rsidR="0052443D">
        <w:t xml:space="preserve">and </w:t>
      </w:r>
      <w:r>
        <w:t>key features of any scheme</w:t>
      </w:r>
      <w:r w:rsidR="0052443D">
        <w:t>.</w:t>
      </w:r>
    </w:p>
    <w:p w14:paraId="324400B8" w14:textId="58191378" w:rsidR="0029416B" w:rsidRDefault="006077D8" w:rsidP="007C36E4">
      <w:pPr>
        <w:pStyle w:val="mpcNormal"/>
        <w:spacing w:after="0"/>
      </w:pPr>
      <w:r>
        <w:t xml:space="preserve"> </w:t>
      </w:r>
    </w:p>
    <w:p w14:paraId="2EF44B01" w14:textId="0811D58F" w:rsidR="006473BF" w:rsidRDefault="0029416B" w:rsidP="007C36E4">
      <w:pPr>
        <w:pStyle w:val="mpcNormal"/>
        <w:spacing w:after="0"/>
      </w:pPr>
      <w:r>
        <w:t xml:space="preserve">The outcomes of </w:t>
      </w:r>
      <w:r w:rsidR="006A733C">
        <w:t xml:space="preserve">this consultation </w:t>
      </w:r>
      <w:r w:rsidR="00996446">
        <w:t xml:space="preserve">are </w:t>
      </w:r>
      <w:r>
        <w:t>detailed in</w:t>
      </w:r>
      <w:r w:rsidR="0096157A">
        <w:t xml:space="preserve"> Chapters 4, 5 and 6 of</w:t>
      </w:r>
      <w:r>
        <w:t xml:space="preserve"> this </w:t>
      </w:r>
      <w:r w:rsidR="0038315D">
        <w:t>report</w:t>
      </w:r>
      <w:r w:rsidR="006077D8">
        <w:t>.</w:t>
      </w:r>
      <w:r>
        <w:t xml:space="preserve"> </w:t>
      </w:r>
    </w:p>
    <w:p w14:paraId="7778ABB1" w14:textId="635780C7" w:rsidR="00796FE2" w:rsidRDefault="00796FE2" w:rsidP="007C36E4">
      <w:pPr>
        <w:pStyle w:val="mpcNormal"/>
        <w:spacing w:after="0"/>
      </w:pPr>
      <w:r>
        <w:br w:type="page"/>
      </w:r>
    </w:p>
    <w:p w14:paraId="057822C6" w14:textId="7EC5AE7F" w:rsidR="00F85531" w:rsidRPr="0046489D" w:rsidRDefault="005B1BEB" w:rsidP="007C36E4">
      <w:pPr>
        <w:pStyle w:val="mpcheading1"/>
      </w:pPr>
      <w:bookmarkStart w:id="13" w:name="_Toc45868438"/>
      <w:bookmarkStart w:id="14" w:name="_Toc49253231"/>
      <w:r>
        <w:lastRenderedPageBreak/>
        <w:t xml:space="preserve">Chapter 2 – </w:t>
      </w:r>
      <w:r w:rsidR="0090378E">
        <w:t>Key issues and o</w:t>
      </w:r>
      <w:r>
        <w:t>bjectives</w:t>
      </w:r>
      <w:bookmarkEnd w:id="13"/>
      <w:bookmarkEnd w:id="14"/>
      <w:r>
        <w:t xml:space="preserve"> </w:t>
      </w:r>
    </w:p>
    <w:p w14:paraId="3D81D158" w14:textId="399FF8C6" w:rsidR="009640F7" w:rsidRDefault="0031202B" w:rsidP="007C36E4">
      <w:pPr>
        <w:pStyle w:val="mpcheading2"/>
      </w:pPr>
      <w:bookmarkStart w:id="15" w:name="_Toc45868439"/>
      <w:bookmarkStart w:id="16" w:name="_Toc49253232"/>
      <w:r>
        <w:t xml:space="preserve">Key </w:t>
      </w:r>
      <w:r w:rsidR="00D55B1C">
        <w:t>issues</w:t>
      </w:r>
      <w:r>
        <w:t xml:space="preserve"> </w:t>
      </w:r>
      <w:r w:rsidR="005B1BEB">
        <w:t>a</w:t>
      </w:r>
      <w:r w:rsidR="00DB717A">
        <w:t xml:space="preserve"> work</w:t>
      </w:r>
      <w:r w:rsidR="00F2305C">
        <w:t>er</w:t>
      </w:r>
      <w:r w:rsidR="00DB717A">
        <w:t xml:space="preserve"> regulation</w:t>
      </w:r>
      <w:r>
        <w:t xml:space="preserve"> scheme </w:t>
      </w:r>
      <w:r w:rsidR="00D603BA">
        <w:t>seeks to address</w:t>
      </w:r>
      <w:bookmarkEnd w:id="15"/>
      <w:bookmarkEnd w:id="16"/>
    </w:p>
    <w:p w14:paraId="4ED1CDFD" w14:textId="163299D6" w:rsidR="00267129" w:rsidRDefault="00963D08" w:rsidP="00AC4455">
      <w:pPr>
        <w:pStyle w:val="mpcNormal"/>
        <w:keepNext/>
        <w:spacing w:after="0"/>
        <w:rPr>
          <w:rFonts w:cstheme="minorHAnsi"/>
        </w:rPr>
      </w:pPr>
      <w:r>
        <w:rPr>
          <w:rFonts w:cstheme="minorHAnsi"/>
        </w:rPr>
        <w:t>As set out in the</w:t>
      </w:r>
      <w:r w:rsidR="009362D1">
        <w:rPr>
          <w:rFonts w:cstheme="minorHAnsi"/>
        </w:rPr>
        <w:t xml:space="preserve"> </w:t>
      </w:r>
      <w:r w:rsidR="00D507AA">
        <w:rPr>
          <w:rFonts w:cstheme="minorHAnsi"/>
        </w:rPr>
        <w:t>Consultation Paper</w:t>
      </w:r>
      <w:r>
        <w:rPr>
          <w:rFonts w:cstheme="minorHAnsi"/>
        </w:rPr>
        <w:t xml:space="preserve">, </w:t>
      </w:r>
      <w:r w:rsidR="00AC4455" w:rsidRPr="00DB362C">
        <w:rPr>
          <w:rFonts w:cstheme="minorHAnsi"/>
        </w:rPr>
        <w:t xml:space="preserve">the aged care legislation does not place any direct requirements on aged care workers. However, the aged care legislation does place certain responsibilities </w:t>
      </w:r>
      <w:r w:rsidR="00AC4455" w:rsidRPr="00B92498">
        <w:rPr>
          <w:rFonts w:cstheme="minorHAnsi"/>
          <w:i/>
          <w:iCs/>
        </w:rPr>
        <w:t>on providers</w:t>
      </w:r>
      <w:r w:rsidR="00AC4455" w:rsidRPr="00DB362C">
        <w:rPr>
          <w:rFonts w:cstheme="minorHAnsi"/>
        </w:rPr>
        <w:t xml:space="preserve"> in respect of aged care workers</w:t>
      </w:r>
      <w:r w:rsidR="00AC4455">
        <w:rPr>
          <w:rFonts w:cstheme="minorHAnsi"/>
        </w:rPr>
        <w:t xml:space="preserve"> (discussed in more detail in the following Chapter)</w:t>
      </w:r>
      <w:r w:rsidR="00AC4455" w:rsidRPr="00DB362C">
        <w:rPr>
          <w:rFonts w:cstheme="minorHAnsi"/>
        </w:rPr>
        <w:t xml:space="preserve">. </w:t>
      </w:r>
      <w:r w:rsidR="00AC4455">
        <w:rPr>
          <w:rFonts w:cstheme="minorHAnsi"/>
        </w:rPr>
        <w:t xml:space="preserve">These responsibilities relate to requirements for </w:t>
      </w:r>
      <w:r w:rsidR="009362D1">
        <w:rPr>
          <w:rFonts w:cstheme="minorHAnsi"/>
        </w:rPr>
        <w:t>police certificat</w:t>
      </w:r>
      <w:r>
        <w:rPr>
          <w:rFonts w:cstheme="minorHAnsi"/>
        </w:rPr>
        <w:t>e</w:t>
      </w:r>
      <w:r w:rsidR="00AC4455">
        <w:rPr>
          <w:rFonts w:cstheme="minorHAnsi"/>
        </w:rPr>
        <w:t>s</w:t>
      </w:r>
      <w:r w:rsidR="009362D1">
        <w:rPr>
          <w:rFonts w:cstheme="minorHAnsi"/>
        </w:rPr>
        <w:t xml:space="preserve">, </w:t>
      </w:r>
      <w:r w:rsidR="00F412F9">
        <w:rPr>
          <w:rFonts w:cstheme="minorHAnsi"/>
        </w:rPr>
        <w:t xml:space="preserve">compulsory </w:t>
      </w:r>
      <w:r>
        <w:rPr>
          <w:rFonts w:cstheme="minorHAnsi"/>
        </w:rPr>
        <w:t xml:space="preserve">reporting </w:t>
      </w:r>
      <w:r w:rsidR="00AC4455">
        <w:rPr>
          <w:rFonts w:cstheme="minorHAnsi"/>
        </w:rPr>
        <w:t xml:space="preserve">of allegations or suspicions of abuse and requirements relating to the </w:t>
      </w:r>
      <w:r w:rsidR="006D0696">
        <w:rPr>
          <w:rFonts w:cstheme="minorHAnsi"/>
        </w:rPr>
        <w:t xml:space="preserve">competency of the </w:t>
      </w:r>
      <w:r w:rsidR="00AC4455">
        <w:rPr>
          <w:rFonts w:cstheme="minorHAnsi"/>
        </w:rPr>
        <w:t>workforce (including their skills, qualifications and conduct) as set out in the</w:t>
      </w:r>
      <w:r w:rsidR="009362D1">
        <w:rPr>
          <w:rFonts w:cstheme="minorHAnsi"/>
        </w:rPr>
        <w:t xml:space="preserve"> Aged Care Quality Standards and the Charter of Aged Care Rights.</w:t>
      </w:r>
    </w:p>
    <w:p w14:paraId="346E8412" w14:textId="77777777" w:rsidR="00267129" w:rsidRDefault="00267129" w:rsidP="007C36E4">
      <w:pPr>
        <w:pStyle w:val="mpcNormal"/>
        <w:keepNext/>
        <w:spacing w:after="0"/>
        <w:rPr>
          <w:rFonts w:cstheme="minorHAnsi"/>
        </w:rPr>
      </w:pPr>
    </w:p>
    <w:p w14:paraId="0307C8C0" w14:textId="1DDAB6BF" w:rsidR="00632CD5" w:rsidRPr="00F8563C" w:rsidRDefault="00267129" w:rsidP="007C36E4">
      <w:pPr>
        <w:pStyle w:val="mpcNormal"/>
        <w:keepNext/>
        <w:spacing w:after="0"/>
        <w:rPr>
          <w:b/>
          <w:bCs/>
        </w:rPr>
      </w:pPr>
      <w:r>
        <w:rPr>
          <w:rFonts w:cstheme="minorHAnsi"/>
        </w:rPr>
        <w:t>D</w:t>
      </w:r>
      <w:r w:rsidR="00627ACB">
        <w:rPr>
          <w:rFonts w:cstheme="minorHAnsi"/>
        </w:rPr>
        <w:t xml:space="preserve">espite these regulatory controls, </w:t>
      </w:r>
      <w:r w:rsidR="009362D1" w:rsidRPr="00DB362C">
        <w:rPr>
          <w:rFonts w:cstheme="minorHAnsi"/>
        </w:rPr>
        <w:t>stakeholde</w:t>
      </w:r>
      <w:r w:rsidR="00627ACB">
        <w:rPr>
          <w:rFonts w:cstheme="minorHAnsi"/>
        </w:rPr>
        <w:t xml:space="preserve">rs </w:t>
      </w:r>
      <w:r w:rsidR="00051092">
        <w:rPr>
          <w:rFonts w:cstheme="minorHAnsi"/>
        </w:rPr>
        <w:t xml:space="preserve">have expressed concern </w:t>
      </w:r>
      <w:r w:rsidR="006473BF">
        <w:rPr>
          <w:rFonts w:cstheme="minorHAnsi"/>
        </w:rPr>
        <w:t>regarding</w:t>
      </w:r>
      <w:r w:rsidR="00627ACB">
        <w:rPr>
          <w:rFonts w:cstheme="minorHAnsi"/>
        </w:rPr>
        <w:t xml:space="preserve"> the</w:t>
      </w:r>
      <w:r w:rsidR="005670D7">
        <w:rPr>
          <w:rFonts w:cstheme="minorHAnsi"/>
        </w:rPr>
        <w:t xml:space="preserve"> </w:t>
      </w:r>
      <w:r w:rsidR="00F412F9">
        <w:rPr>
          <w:rFonts w:cstheme="minorHAnsi"/>
        </w:rPr>
        <w:t xml:space="preserve">ongoing </w:t>
      </w:r>
      <w:r w:rsidR="005670D7">
        <w:rPr>
          <w:rFonts w:cstheme="minorHAnsi"/>
        </w:rPr>
        <w:t xml:space="preserve">occurrence of </w:t>
      </w:r>
      <w:r w:rsidR="009362D1" w:rsidRPr="005670D7">
        <w:rPr>
          <w:rFonts w:cstheme="minorHAnsi"/>
        </w:rPr>
        <w:t>abuse and neglect</w:t>
      </w:r>
      <w:r w:rsidR="005670D7" w:rsidRPr="005670D7">
        <w:rPr>
          <w:rFonts w:cstheme="minorHAnsi"/>
        </w:rPr>
        <w:t>.</w:t>
      </w:r>
      <w:r w:rsidR="005670D7">
        <w:rPr>
          <w:b/>
          <w:bCs/>
        </w:rPr>
        <w:t xml:space="preserve"> </w:t>
      </w:r>
      <w:r w:rsidR="005670D7" w:rsidRPr="005670D7">
        <w:t xml:space="preserve">There is a particular concern that the current arrangements do not adequately identify </w:t>
      </w:r>
      <w:r w:rsidR="00A5135B">
        <w:t xml:space="preserve">unsuitable </w:t>
      </w:r>
      <w:r w:rsidR="005670D7" w:rsidRPr="005670D7">
        <w:t>workers who</w:t>
      </w:r>
      <w:r w:rsidR="00A5135B">
        <w:t xml:space="preserve"> may</w:t>
      </w:r>
      <w:r w:rsidR="005670D7" w:rsidRPr="005670D7">
        <w:t xml:space="preserve"> </w:t>
      </w:r>
      <w:r w:rsidR="00AC4455" w:rsidRPr="005670D7">
        <w:t>pos</w:t>
      </w:r>
      <w:r w:rsidR="00AC4455">
        <w:t>e</w:t>
      </w:r>
      <w:r w:rsidR="00AC4455" w:rsidRPr="005670D7">
        <w:t xml:space="preserve"> a risk to aged care consumers </w:t>
      </w:r>
      <w:r w:rsidR="000817B9">
        <w:t xml:space="preserve">including </w:t>
      </w:r>
      <w:r w:rsidR="00AC4455">
        <w:t xml:space="preserve">where they are </w:t>
      </w:r>
      <w:r w:rsidR="00F8563C">
        <w:t>ab</w:t>
      </w:r>
      <w:r w:rsidR="00AC4455">
        <w:t>le</w:t>
      </w:r>
      <w:r w:rsidR="00F8563C">
        <w:t xml:space="preserve"> to </w:t>
      </w:r>
      <w:r w:rsidR="009362D1" w:rsidRPr="005670D7">
        <w:t xml:space="preserve">move </w:t>
      </w:r>
      <w:r w:rsidR="00466125">
        <w:t>across</w:t>
      </w:r>
      <w:r w:rsidR="00A5135B">
        <w:t xml:space="preserve"> care</w:t>
      </w:r>
      <w:r w:rsidR="009362D1" w:rsidRPr="005670D7">
        <w:t xml:space="preserve"> settings</w:t>
      </w:r>
      <w:r w:rsidR="00F8563C">
        <w:t>, providers and jurisdictions</w:t>
      </w:r>
      <w:r w:rsidR="005670D7" w:rsidRPr="005670D7">
        <w:t xml:space="preserve">. </w:t>
      </w:r>
    </w:p>
    <w:p w14:paraId="0F25A3A6" w14:textId="77777777" w:rsidR="00267129" w:rsidRDefault="00267129" w:rsidP="007C36E4">
      <w:pPr>
        <w:pStyle w:val="mpcNormal"/>
        <w:keepNext/>
        <w:spacing w:after="0"/>
      </w:pPr>
    </w:p>
    <w:p w14:paraId="48EBD317" w14:textId="6AA176DB" w:rsidR="009362D1" w:rsidRDefault="000817B9" w:rsidP="007C36E4">
      <w:pPr>
        <w:pStyle w:val="mpcNormal"/>
        <w:keepNext/>
        <w:spacing w:after="0"/>
      </w:pPr>
      <w:r>
        <w:t>K</w:t>
      </w:r>
      <w:r w:rsidR="005670D7" w:rsidRPr="005670D7">
        <w:t>ey issue</w:t>
      </w:r>
      <w:r>
        <w:t>s</w:t>
      </w:r>
      <w:r w:rsidR="005670D7" w:rsidRPr="005670D7">
        <w:t xml:space="preserve"> for stakeholders </w:t>
      </w:r>
      <w:r>
        <w:t xml:space="preserve">are </w:t>
      </w:r>
      <w:r w:rsidR="005670D7" w:rsidRPr="005670D7">
        <w:t xml:space="preserve">that workers are either permitted to enter the aged care workforce despite a history of </w:t>
      </w:r>
      <w:r w:rsidR="005670D7">
        <w:t xml:space="preserve">unsuitable </w:t>
      </w:r>
      <w:r w:rsidR="005670D7" w:rsidRPr="005670D7">
        <w:t xml:space="preserve">conduct that is not </w:t>
      </w:r>
      <w:r w:rsidR="005670D7">
        <w:t xml:space="preserve">identified or consistently </w:t>
      </w:r>
      <w:r w:rsidR="005670D7" w:rsidRPr="005670D7">
        <w:t xml:space="preserve">assessed under the current arrangements, </w:t>
      </w:r>
      <w:r w:rsidR="008A11DA">
        <w:t>and</w:t>
      </w:r>
      <w:r w:rsidR="005670D7" w:rsidRPr="005670D7">
        <w:t xml:space="preserve"> that workers who</w:t>
      </w:r>
      <w:r w:rsidR="00963D08" w:rsidRPr="005670D7">
        <w:t xml:space="preserve"> </w:t>
      </w:r>
      <w:r w:rsidR="009362D1" w:rsidRPr="005670D7">
        <w:t xml:space="preserve">avoid employment termination </w:t>
      </w:r>
      <w:r w:rsidR="005670D7">
        <w:t xml:space="preserve">for poor conduct are able to transition into like employment </w:t>
      </w:r>
      <w:r w:rsidR="008A11DA">
        <w:t>because</w:t>
      </w:r>
      <w:r w:rsidR="005670D7">
        <w:t xml:space="preserve"> </w:t>
      </w:r>
      <w:r w:rsidR="009362D1" w:rsidRPr="005670D7">
        <w:t>behaviours of concern</w:t>
      </w:r>
      <w:r w:rsidR="005670D7">
        <w:t xml:space="preserve"> are not reported and consolidated for </w:t>
      </w:r>
      <w:r w:rsidR="00DE5A16">
        <w:t xml:space="preserve">consideration </w:t>
      </w:r>
      <w:r w:rsidR="005670D7">
        <w:t xml:space="preserve">by </w:t>
      </w:r>
      <w:r w:rsidR="00A5135B">
        <w:t xml:space="preserve">future </w:t>
      </w:r>
      <w:r w:rsidR="005670D7">
        <w:t xml:space="preserve">employers </w:t>
      </w:r>
      <w:r w:rsidR="008A11DA">
        <w:t>(</w:t>
      </w:r>
      <w:r w:rsidR="005670D7">
        <w:t xml:space="preserve">in either the aged care sector or </w:t>
      </w:r>
      <w:r w:rsidR="00F412F9">
        <w:t>similar sectors</w:t>
      </w:r>
      <w:r w:rsidR="00F8563C">
        <w:t>,</w:t>
      </w:r>
      <w:r w:rsidR="00F412F9">
        <w:t xml:space="preserve"> including disability</w:t>
      </w:r>
      <w:r w:rsidR="008A11DA">
        <w:t>)</w:t>
      </w:r>
      <w:r w:rsidR="009362D1" w:rsidRPr="005670D7">
        <w:t>.</w:t>
      </w:r>
    </w:p>
    <w:p w14:paraId="05B57F50" w14:textId="77777777" w:rsidR="00267129" w:rsidRDefault="00267129" w:rsidP="007C36E4">
      <w:pPr>
        <w:pStyle w:val="mpcNormal"/>
        <w:keepNext/>
        <w:spacing w:after="0"/>
      </w:pPr>
    </w:p>
    <w:p w14:paraId="1B72E77B" w14:textId="125545FA" w:rsidR="00796FE2" w:rsidRDefault="00105CE6" w:rsidP="007C36E4">
      <w:pPr>
        <w:pStyle w:val="mpcNormal"/>
        <w:keepNext/>
        <w:spacing w:after="0"/>
      </w:pPr>
      <w:r>
        <w:t>An</w:t>
      </w:r>
      <w:r w:rsidR="005670D7" w:rsidRPr="008D1D6C">
        <w:t xml:space="preserve"> addition</w:t>
      </w:r>
      <w:r w:rsidR="008A11DA">
        <w:t>al</w:t>
      </w:r>
      <w:r w:rsidR="005670D7" w:rsidRPr="008D1D6C">
        <w:t xml:space="preserve"> concern</w:t>
      </w:r>
      <w:r w:rsidR="008A11DA">
        <w:t xml:space="preserve"> is</w:t>
      </w:r>
      <w:r w:rsidR="005670D7" w:rsidRPr="008D1D6C">
        <w:t xml:space="preserve"> </w:t>
      </w:r>
      <w:r w:rsidR="008D1D6C" w:rsidRPr="008D1D6C">
        <w:t>that</w:t>
      </w:r>
      <w:r w:rsidR="005670D7" w:rsidRPr="008D1D6C">
        <w:t xml:space="preserve"> </w:t>
      </w:r>
      <w:r w:rsidR="009362D1" w:rsidRPr="008D1D6C">
        <w:t>some critical workers (such as</w:t>
      </w:r>
      <w:r w:rsidR="008A11DA">
        <w:t xml:space="preserve"> </w:t>
      </w:r>
      <w:r w:rsidR="009362D1" w:rsidRPr="008D1D6C">
        <w:t>PCWs) may not have adequate qualifications or skills, English proficiency and/or access to CPD to support the delivery of safe and high-quality consumer-centred care</w:t>
      </w:r>
      <w:r w:rsidR="008D1D6C" w:rsidRPr="008D1D6C">
        <w:t xml:space="preserve">. </w:t>
      </w:r>
    </w:p>
    <w:p w14:paraId="41B5F638" w14:textId="77777777" w:rsidR="00267129" w:rsidRDefault="00267129" w:rsidP="007C36E4">
      <w:pPr>
        <w:pStyle w:val="mpcNormal"/>
        <w:keepNext/>
        <w:spacing w:after="0"/>
      </w:pPr>
    </w:p>
    <w:p w14:paraId="445EA671" w14:textId="4EE3FD22" w:rsidR="009640F7" w:rsidRDefault="0031202B" w:rsidP="007C36E4">
      <w:pPr>
        <w:pStyle w:val="mpcheading2"/>
        <w:spacing w:after="0"/>
      </w:pPr>
      <w:bookmarkStart w:id="17" w:name="_Toc45868440"/>
      <w:bookmarkStart w:id="18" w:name="_Toc49253233"/>
      <w:r>
        <w:t>Objectives of a worker regulation scheme</w:t>
      </w:r>
      <w:bookmarkEnd w:id="17"/>
      <w:bookmarkEnd w:id="18"/>
      <w:r>
        <w:t xml:space="preserve"> </w:t>
      </w:r>
    </w:p>
    <w:p w14:paraId="488497A8" w14:textId="77777777" w:rsidR="00F54D9C" w:rsidRDefault="00F54D9C" w:rsidP="007C36E4">
      <w:pPr>
        <w:pStyle w:val="mpcNormal"/>
        <w:spacing w:after="0"/>
      </w:pPr>
    </w:p>
    <w:p w14:paraId="2AA37418" w14:textId="7431412A" w:rsidR="009D6115" w:rsidRDefault="00004D8F" w:rsidP="006A2F35">
      <w:pPr>
        <w:pStyle w:val="mpcNormal"/>
        <w:rPr>
          <w:rFonts w:cstheme="minorHAnsi"/>
        </w:rPr>
      </w:pPr>
      <w:r>
        <w:t xml:space="preserve">The </w:t>
      </w:r>
      <w:r w:rsidR="00094308">
        <w:t>primary</w:t>
      </w:r>
      <w:r w:rsidR="00DA74AD">
        <w:t xml:space="preserve"> </w:t>
      </w:r>
      <w:r>
        <w:t xml:space="preserve">objective </w:t>
      </w:r>
      <w:r w:rsidR="009D6115">
        <w:t xml:space="preserve">of any new worker regulation scheme is </w:t>
      </w:r>
      <w:r>
        <w:t>to i</w:t>
      </w:r>
      <w:r w:rsidR="009362D1" w:rsidRPr="009362D1">
        <w:rPr>
          <w:rFonts w:cstheme="minorHAnsi"/>
        </w:rPr>
        <w:t xml:space="preserve">mprove quality and safety </w:t>
      </w:r>
      <w:r w:rsidR="009362D1">
        <w:rPr>
          <w:rFonts w:cstheme="minorHAnsi"/>
        </w:rPr>
        <w:t>within</w:t>
      </w:r>
      <w:r w:rsidR="009362D1" w:rsidRPr="009362D1">
        <w:rPr>
          <w:rFonts w:cstheme="minorHAnsi"/>
        </w:rPr>
        <w:t xml:space="preserve"> aged care</w:t>
      </w:r>
      <w:r>
        <w:rPr>
          <w:rFonts w:cstheme="minorHAnsi"/>
        </w:rPr>
        <w:t xml:space="preserve"> and to e</w:t>
      </w:r>
      <w:r w:rsidR="009362D1" w:rsidRPr="009362D1">
        <w:rPr>
          <w:rFonts w:cstheme="minorHAnsi"/>
        </w:rPr>
        <w:t>nhance protections for consumers</w:t>
      </w:r>
      <w:r>
        <w:rPr>
          <w:rFonts w:cstheme="minorHAnsi"/>
        </w:rPr>
        <w:t xml:space="preserve">. </w:t>
      </w:r>
      <w:r w:rsidR="00F54D9C">
        <w:rPr>
          <w:rFonts w:cstheme="minorHAnsi"/>
        </w:rPr>
        <w:t xml:space="preserve">This </w:t>
      </w:r>
      <w:r w:rsidR="009D6115">
        <w:rPr>
          <w:rFonts w:cstheme="minorHAnsi"/>
        </w:rPr>
        <w:t xml:space="preserve">objective was affirmed by stakeholders. </w:t>
      </w:r>
    </w:p>
    <w:p w14:paraId="5BF160DD" w14:textId="198EB86E" w:rsidR="009D6115" w:rsidRDefault="000817B9" w:rsidP="008F5E4B">
      <w:r>
        <w:rPr>
          <w:rFonts w:cstheme="minorHAnsi"/>
        </w:rPr>
        <w:t xml:space="preserve">Stakeholders also generally supported a number of the secondary objectives identified in the Consultation Paper, highlighting the </w:t>
      </w:r>
      <w:r w:rsidR="008F5E4B">
        <w:rPr>
          <w:rFonts w:cstheme="minorHAnsi"/>
        </w:rPr>
        <w:t xml:space="preserve">value of </w:t>
      </w:r>
      <w:r w:rsidR="009D6115">
        <w:t>improving the community standing of aged care workers and elevating or professionalising the workforce</w:t>
      </w:r>
      <w:r w:rsidR="008F5E4B">
        <w:t>.</w:t>
      </w:r>
    </w:p>
    <w:p w14:paraId="08E6A71E" w14:textId="13A5EEFC" w:rsidR="008F5E4B" w:rsidRDefault="008F5E4B" w:rsidP="008F5E4B"/>
    <w:p w14:paraId="5FCDFF27" w14:textId="12274368" w:rsidR="008F5E4B" w:rsidRDefault="008F5E4B" w:rsidP="006A2F35">
      <w:r>
        <w:t>In terms of implementation objectives, stakeholders als</w:t>
      </w:r>
      <w:r w:rsidR="004971C6">
        <w:t>o</w:t>
      </w:r>
      <w:r>
        <w:t xml:space="preserve"> agreed the importance of:</w:t>
      </w:r>
    </w:p>
    <w:p w14:paraId="64FEAD4C" w14:textId="1346227E" w:rsidR="004971C6" w:rsidRDefault="000817B9" w:rsidP="00200350">
      <w:pPr>
        <w:pStyle w:val="mpcbullets1"/>
      </w:pPr>
      <w:r>
        <w:t>a</w:t>
      </w:r>
      <w:r w:rsidRPr="000817B9">
        <w:t>void</w:t>
      </w:r>
      <w:r>
        <w:t>ing</w:t>
      </w:r>
      <w:r w:rsidRPr="000817B9">
        <w:t xml:space="preserve"> unnecessary barriers to workforce entry </w:t>
      </w:r>
    </w:p>
    <w:p w14:paraId="29FC0BE5" w14:textId="6C9BDEA3" w:rsidR="000817B9" w:rsidRPr="000817B9" w:rsidRDefault="000817B9" w:rsidP="00200350">
      <w:pPr>
        <w:pStyle w:val="mpcbullets1"/>
      </w:pPr>
      <w:r>
        <w:t>f</w:t>
      </w:r>
      <w:r w:rsidRPr="000817B9">
        <w:t>acilitat</w:t>
      </w:r>
      <w:r w:rsidR="004971C6">
        <w:t xml:space="preserve">ing </w:t>
      </w:r>
      <w:r w:rsidRPr="000817B9">
        <w:t xml:space="preserve">the attraction and retention of </w:t>
      </w:r>
      <w:r>
        <w:t xml:space="preserve">suitable </w:t>
      </w:r>
      <w:r w:rsidRPr="000817B9">
        <w:t>aged care workers</w:t>
      </w:r>
    </w:p>
    <w:p w14:paraId="7DDC9D0D" w14:textId="39047A53" w:rsidR="000817B9" w:rsidRPr="000817B9" w:rsidRDefault="000817B9" w:rsidP="00200350">
      <w:pPr>
        <w:pStyle w:val="mpcbullets1"/>
      </w:pPr>
      <w:r>
        <w:t>avoiding d</w:t>
      </w:r>
      <w:r w:rsidRPr="000817B9">
        <w:t>uplicative regulatory requirements for providers and workers operating across sectors</w:t>
      </w:r>
    </w:p>
    <w:p w14:paraId="0EC8AA90" w14:textId="5BA97523" w:rsidR="000817B9" w:rsidRDefault="000817B9" w:rsidP="00200350">
      <w:pPr>
        <w:pStyle w:val="mpcbullets1"/>
      </w:pPr>
      <w:r>
        <w:t>minimising t</w:t>
      </w:r>
      <w:r w:rsidRPr="000817B9">
        <w:t>he cost to workers, providers, consumers and governments of any new scheme</w:t>
      </w:r>
      <w:r w:rsidR="006D0696">
        <w:t>.</w:t>
      </w:r>
    </w:p>
    <w:p w14:paraId="0EFFB74E" w14:textId="77777777" w:rsidR="009D6115" w:rsidRPr="000817B9" w:rsidRDefault="009D6115" w:rsidP="006A2F35">
      <w:pPr>
        <w:pStyle w:val="NormalWeb"/>
        <w:spacing w:before="0" w:beforeAutospacing="0" w:after="0" w:afterAutospacing="0"/>
        <w:rPr>
          <w:rFonts w:cstheme="minorHAnsi"/>
        </w:rPr>
      </w:pPr>
    </w:p>
    <w:p w14:paraId="0327DAEB" w14:textId="32B8F66C" w:rsidR="009D6115" w:rsidRDefault="009D6115" w:rsidP="006A2F35">
      <w:pPr>
        <w:pStyle w:val="NormalWeb"/>
        <w:spacing w:before="0" w:beforeAutospacing="0" w:after="0" w:afterAutospacing="0"/>
        <w:rPr>
          <w:rFonts w:cstheme="minorHAnsi"/>
        </w:rPr>
      </w:pPr>
      <w:r>
        <w:rPr>
          <w:rFonts w:cstheme="minorHAnsi"/>
        </w:rPr>
        <w:t xml:space="preserve"> </w:t>
      </w:r>
    </w:p>
    <w:p w14:paraId="60C0AB51" w14:textId="2B0629F6" w:rsidR="00024AAE" w:rsidRPr="00024AAE" w:rsidRDefault="00024AAE" w:rsidP="007C36E4">
      <w:pPr>
        <w:pStyle w:val="NormalWeb"/>
        <w:spacing w:before="0" w:beforeAutospacing="0" w:after="0" w:afterAutospacing="0"/>
        <w:rPr>
          <w:rFonts w:cstheme="minorHAnsi"/>
        </w:rPr>
      </w:pPr>
    </w:p>
    <w:p w14:paraId="6A57ABB7" w14:textId="30B36EFF" w:rsidR="00C202BF" w:rsidRPr="00BB24A0" w:rsidRDefault="002C46F4" w:rsidP="00BB24A0">
      <w:pPr>
        <w:pStyle w:val="mpcheading1"/>
      </w:pPr>
      <w:bookmarkStart w:id="19" w:name="_Toc45868441"/>
      <w:bookmarkStart w:id="20" w:name="_Toc49253234"/>
      <w:r>
        <w:lastRenderedPageBreak/>
        <w:t>Chapter 3 – </w:t>
      </w:r>
      <w:r w:rsidR="0031202B">
        <w:t xml:space="preserve">Existing </w:t>
      </w:r>
      <w:r w:rsidR="00392511">
        <w:t>regulatory</w:t>
      </w:r>
      <w:r w:rsidR="0031202B">
        <w:t xml:space="preserve"> environment relevant to consideration of reform</w:t>
      </w:r>
      <w:bookmarkEnd w:id="19"/>
      <w:bookmarkEnd w:id="20"/>
      <w:r w:rsidR="0031202B">
        <w:t xml:space="preserve"> </w:t>
      </w:r>
    </w:p>
    <w:p w14:paraId="433AE98B" w14:textId="13F27202" w:rsidR="00C202BF" w:rsidRDefault="00C202BF" w:rsidP="007C36E4">
      <w:pPr>
        <w:pStyle w:val="mpcNormal"/>
        <w:spacing w:after="0"/>
        <w:rPr>
          <w:rFonts w:cstheme="minorHAnsi"/>
        </w:rPr>
      </w:pPr>
      <w:r>
        <w:rPr>
          <w:rFonts w:cstheme="minorHAnsi"/>
        </w:rPr>
        <w:t>Throughout the consultat</w:t>
      </w:r>
      <w:r w:rsidR="00A43469">
        <w:rPr>
          <w:rFonts w:cstheme="minorHAnsi"/>
        </w:rPr>
        <w:t>ion</w:t>
      </w:r>
      <w:r>
        <w:rPr>
          <w:rFonts w:cstheme="minorHAnsi"/>
        </w:rPr>
        <w:t>, stakeholders highlighted the importance of any new regulation:</w:t>
      </w:r>
    </w:p>
    <w:p w14:paraId="020B0FBB" w14:textId="77777777" w:rsidR="00C202BF" w:rsidRDefault="00C202BF" w:rsidP="007C36E4">
      <w:pPr>
        <w:pStyle w:val="mpcNormal"/>
        <w:spacing w:after="0"/>
        <w:rPr>
          <w:rFonts w:cstheme="minorHAnsi"/>
        </w:rPr>
      </w:pPr>
    </w:p>
    <w:p w14:paraId="212E69A4" w14:textId="2BDDB733" w:rsidR="00C202BF" w:rsidRPr="00200350" w:rsidRDefault="00C202BF" w:rsidP="00200350">
      <w:pPr>
        <w:pStyle w:val="mpcbullets1"/>
      </w:pPr>
      <w:r w:rsidRPr="00200350">
        <w:t xml:space="preserve">seamlessly intersecting with existing regulation </w:t>
      </w:r>
      <w:r w:rsidR="00B574BA" w:rsidRPr="00200350">
        <w:t xml:space="preserve">and </w:t>
      </w:r>
      <w:r w:rsidRPr="00200350">
        <w:t>not creating duplicative requirements for workers covered by more than one regulatory scheme</w:t>
      </w:r>
    </w:p>
    <w:p w14:paraId="07E58B2B" w14:textId="5744BEF4" w:rsidR="00C202BF" w:rsidRPr="00200350" w:rsidRDefault="00C202BF" w:rsidP="00200350">
      <w:pPr>
        <w:pStyle w:val="mpcbullets1"/>
      </w:pPr>
      <w:r w:rsidRPr="00200350">
        <w:t>aligning, as far as possible</w:t>
      </w:r>
      <w:r w:rsidR="00A43469" w:rsidRPr="00200350">
        <w:t>,</w:t>
      </w:r>
      <w:r w:rsidRPr="00200350">
        <w:t xml:space="preserve"> with existing regulatory schemes</w:t>
      </w:r>
      <w:r w:rsidR="00A43469" w:rsidRPr="00200350">
        <w:t xml:space="preserve">, </w:t>
      </w:r>
      <w:r w:rsidRPr="00200350">
        <w:t>noting that each of the existing regulatory schemes (particularly in relation to regulated health workers and disability workers</w:t>
      </w:r>
      <w:r w:rsidR="00A43469" w:rsidRPr="00200350">
        <w:t xml:space="preserve">) </w:t>
      </w:r>
      <w:r w:rsidRPr="00200350">
        <w:t>are very different in their intent, scope and operation</w:t>
      </w:r>
      <w:r w:rsidR="00A43469" w:rsidRPr="00200350">
        <w:t>.</w:t>
      </w:r>
      <w:r w:rsidRPr="00200350">
        <w:t xml:space="preserve"> </w:t>
      </w:r>
    </w:p>
    <w:p w14:paraId="1458DCF4" w14:textId="477512DF" w:rsidR="00C202BF" w:rsidRDefault="00C202BF" w:rsidP="007C36E4">
      <w:pPr>
        <w:pStyle w:val="mpcNormal"/>
        <w:spacing w:after="0"/>
        <w:rPr>
          <w:rFonts w:cstheme="minorHAnsi"/>
        </w:rPr>
      </w:pPr>
    </w:p>
    <w:p w14:paraId="7161DA50" w14:textId="45C774E0" w:rsidR="00C202BF" w:rsidRDefault="00C202BF" w:rsidP="007C36E4">
      <w:pPr>
        <w:pStyle w:val="mpcNormal"/>
        <w:spacing w:after="0"/>
        <w:rPr>
          <w:rFonts w:cstheme="minorHAnsi"/>
        </w:rPr>
      </w:pPr>
      <w:r>
        <w:rPr>
          <w:rFonts w:cstheme="minorHAnsi"/>
        </w:rPr>
        <w:t xml:space="preserve">This Chapter describes key elements </w:t>
      </w:r>
      <w:r w:rsidR="00A43469">
        <w:rPr>
          <w:rFonts w:cstheme="minorHAnsi"/>
        </w:rPr>
        <w:t xml:space="preserve">of existing regulation relating to criminal history screening and competency requirements for aged care workers, along with requirements for screening and/or registration relevant to workers in </w:t>
      </w:r>
      <w:r w:rsidR="00FD270A">
        <w:rPr>
          <w:rFonts w:cstheme="minorHAnsi"/>
        </w:rPr>
        <w:t xml:space="preserve">the </w:t>
      </w:r>
      <w:r w:rsidR="00A43469">
        <w:rPr>
          <w:rFonts w:cstheme="minorHAnsi"/>
        </w:rPr>
        <w:t>disability services sector and health.</w:t>
      </w:r>
    </w:p>
    <w:p w14:paraId="39182879" w14:textId="77777777" w:rsidR="00C202BF" w:rsidRDefault="00C202BF" w:rsidP="007C36E4">
      <w:pPr>
        <w:pStyle w:val="mpcNormal"/>
        <w:spacing w:after="0"/>
        <w:rPr>
          <w:rFonts w:cstheme="minorHAnsi"/>
        </w:rPr>
      </w:pPr>
    </w:p>
    <w:p w14:paraId="43E42C5F" w14:textId="1A5457A7" w:rsidR="00C202BF" w:rsidRPr="00BB24A0" w:rsidRDefault="00C202BF" w:rsidP="00BB24A0">
      <w:pPr>
        <w:pStyle w:val="mpcheading2"/>
      </w:pPr>
      <w:bookmarkStart w:id="21" w:name="_Toc45868442"/>
      <w:bookmarkStart w:id="22" w:name="_Toc49253235"/>
      <w:r w:rsidRPr="00381061">
        <w:t>Police check requirements</w:t>
      </w:r>
      <w:r>
        <w:t xml:space="preserve"> in aged care</w:t>
      </w:r>
      <w:bookmarkEnd w:id="21"/>
      <w:bookmarkEnd w:id="22"/>
      <w:r w:rsidRPr="00381061">
        <w:t xml:space="preserve"> </w:t>
      </w:r>
    </w:p>
    <w:p w14:paraId="5F6C6B2D" w14:textId="668C7C5B" w:rsidR="00A45E6E" w:rsidRDefault="00094308" w:rsidP="007C36E4">
      <w:pPr>
        <w:pStyle w:val="mpcNormal"/>
        <w:spacing w:after="0"/>
        <w:rPr>
          <w:rFonts w:cstheme="minorHAnsi"/>
        </w:rPr>
      </w:pPr>
      <w:r>
        <w:rPr>
          <w:rFonts w:cstheme="minorHAnsi"/>
        </w:rPr>
        <w:t xml:space="preserve">As detailed in the </w:t>
      </w:r>
      <w:r w:rsidR="00D507AA">
        <w:rPr>
          <w:rFonts w:cstheme="minorHAnsi"/>
        </w:rPr>
        <w:t>Consultation Paper</w:t>
      </w:r>
      <w:r w:rsidRPr="0079650B">
        <w:rPr>
          <w:rFonts w:cstheme="minorHAnsi"/>
        </w:rPr>
        <w:t xml:space="preserve">, </w:t>
      </w:r>
      <w:r w:rsidR="00632CD5">
        <w:rPr>
          <w:rFonts w:cstheme="minorHAnsi"/>
        </w:rPr>
        <w:t xml:space="preserve">criminal </w:t>
      </w:r>
      <w:r w:rsidR="008F5ADF">
        <w:rPr>
          <w:rFonts w:cstheme="minorHAnsi"/>
        </w:rPr>
        <w:t>history checks for staff members and volunteers</w:t>
      </w:r>
      <w:r w:rsidR="00632CD5">
        <w:rPr>
          <w:rFonts w:cstheme="minorHAnsi"/>
        </w:rPr>
        <w:t xml:space="preserve"> </w:t>
      </w:r>
      <w:r w:rsidR="008F5ADF">
        <w:rPr>
          <w:rFonts w:cstheme="minorHAnsi"/>
        </w:rPr>
        <w:t>are</w:t>
      </w:r>
      <w:r w:rsidR="00632CD5">
        <w:rPr>
          <w:rFonts w:cstheme="minorHAnsi"/>
        </w:rPr>
        <w:t xml:space="preserve"> currently </w:t>
      </w:r>
      <w:r w:rsidR="00162ECF">
        <w:rPr>
          <w:rFonts w:cstheme="minorHAnsi"/>
        </w:rPr>
        <w:t>re</w:t>
      </w:r>
      <w:r w:rsidR="00A43469">
        <w:rPr>
          <w:rFonts w:cstheme="minorHAnsi"/>
        </w:rPr>
        <w:t xml:space="preserve">quired by the aged care </w:t>
      </w:r>
      <w:r w:rsidR="006D0696">
        <w:rPr>
          <w:rFonts w:cstheme="minorHAnsi"/>
        </w:rPr>
        <w:t>legislation</w:t>
      </w:r>
      <w:r w:rsidR="00A43469">
        <w:rPr>
          <w:rFonts w:cstheme="minorHAnsi"/>
        </w:rPr>
        <w:t xml:space="preserve">, </w:t>
      </w:r>
      <w:r w:rsidR="00A45E6E">
        <w:rPr>
          <w:rFonts w:cstheme="minorHAnsi"/>
        </w:rPr>
        <w:t>for assessment and</w:t>
      </w:r>
      <w:r w:rsidR="00A43469">
        <w:rPr>
          <w:rFonts w:cstheme="minorHAnsi"/>
        </w:rPr>
        <w:t xml:space="preserve"> re</w:t>
      </w:r>
      <w:r w:rsidR="00162ECF">
        <w:rPr>
          <w:rFonts w:cstheme="minorHAnsi"/>
        </w:rPr>
        <w:t>view</w:t>
      </w:r>
      <w:r w:rsidR="00632CD5">
        <w:rPr>
          <w:rFonts w:cstheme="minorHAnsi"/>
        </w:rPr>
        <w:t xml:space="preserve"> by providers</w:t>
      </w:r>
      <w:r w:rsidR="00A45E6E">
        <w:rPr>
          <w:rFonts w:cstheme="minorHAnsi"/>
        </w:rPr>
        <w:t xml:space="preserve"> in determining employment of its aged care workforce</w:t>
      </w:r>
      <w:r w:rsidR="00632CD5">
        <w:rPr>
          <w:rFonts w:cstheme="minorHAnsi"/>
        </w:rPr>
        <w:t>.</w:t>
      </w:r>
      <w:r w:rsidR="00A45E6E">
        <w:rPr>
          <w:rFonts w:cstheme="minorHAnsi"/>
        </w:rPr>
        <w:t xml:space="preserve"> This approach is consistent with the system of Commonwealth regulation of aged care, whereby providers, as the recipients of Commonwealth subsidy</w:t>
      </w:r>
      <w:r w:rsidR="00252CE7">
        <w:rPr>
          <w:rFonts w:cstheme="minorHAnsi"/>
        </w:rPr>
        <w:t>,</w:t>
      </w:r>
      <w:r w:rsidR="00A45E6E">
        <w:rPr>
          <w:rFonts w:cstheme="minorHAnsi"/>
        </w:rPr>
        <w:t xml:space="preserve"> have responsibilities for the quality of care and services provided.  </w:t>
      </w:r>
      <w:r w:rsidR="00632CD5">
        <w:rPr>
          <w:rFonts w:cstheme="minorHAnsi"/>
        </w:rPr>
        <w:t xml:space="preserve"> </w:t>
      </w:r>
    </w:p>
    <w:p w14:paraId="21C668E1" w14:textId="77777777" w:rsidR="00F27301" w:rsidRDefault="00F27301" w:rsidP="007C36E4">
      <w:pPr>
        <w:pStyle w:val="mpcNormal"/>
        <w:spacing w:after="0"/>
        <w:rPr>
          <w:rFonts w:cstheme="minorHAnsi"/>
        </w:rPr>
      </w:pPr>
    </w:p>
    <w:p w14:paraId="0E1859FE" w14:textId="6C6A518D" w:rsidR="00094308" w:rsidRDefault="00632CD5" w:rsidP="007C36E4">
      <w:pPr>
        <w:pStyle w:val="mpcNormal"/>
        <w:spacing w:after="0"/>
        <w:rPr>
          <w:rFonts w:cstheme="minorHAnsi"/>
        </w:rPr>
      </w:pPr>
      <w:r>
        <w:rPr>
          <w:rFonts w:cstheme="minorHAnsi"/>
        </w:rPr>
        <w:t xml:space="preserve">Providers </w:t>
      </w:r>
      <w:r w:rsidR="00094308" w:rsidRPr="0079650B">
        <w:rPr>
          <w:rFonts w:cstheme="minorHAnsi"/>
        </w:rPr>
        <w:t>are</w:t>
      </w:r>
      <w:r w:rsidR="00094308">
        <w:rPr>
          <w:rFonts w:cstheme="minorHAnsi"/>
        </w:rPr>
        <w:t xml:space="preserve"> </w:t>
      </w:r>
      <w:r w:rsidR="00094308" w:rsidRPr="0079650B">
        <w:rPr>
          <w:rFonts w:cstheme="minorHAnsi"/>
        </w:rPr>
        <w:t>responsible for ensuring that people with certain criminal convictions (such as murder, sexual assault or assault for which the person was imprisoned) do not become or do not continue to be staff member</w:t>
      </w:r>
      <w:r w:rsidR="009A1C91">
        <w:rPr>
          <w:rFonts w:cstheme="minorHAnsi"/>
        </w:rPr>
        <w:t>s</w:t>
      </w:r>
      <w:r w:rsidR="009B0DD8">
        <w:rPr>
          <w:rFonts w:cstheme="minorHAnsi"/>
        </w:rPr>
        <w:t xml:space="preserve"> or volunteer</w:t>
      </w:r>
      <w:r w:rsidR="009A1C91">
        <w:rPr>
          <w:rFonts w:cstheme="minorHAnsi"/>
        </w:rPr>
        <w:t>s</w:t>
      </w:r>
      <w:r w:rsidR="00094308" w:rsidRPr="0079650B">
        <w:rPr>
          <w:rFonts w:cstheme="minorHAnsi"/>
        </w:rPr>
        <w:t xml:space="preserve">, and that staff members </w:t>
      </w:r>
      <w:r w:rsidR="009A1C91">
        <w:rPr>
          <w:rFonts w:cstheme="minorHAnsi"/>
        </w:rPr>
        <w:t xml:space="preserve">and volunteers </w:t>
      </w:r>
      <w:r w:rsidR="00094308" w:rsidRPr="0079650B">
        <w:rPr>
          <w:rFonts w:cstheme="minorHAnsi"/>
        </w:rPr>
        <w:t>have a police certificate (and/or have made a statutory declaration) which is current within the last three years, stating that the person has not been convicted of these offences.</w:t>
      </w:r>
      <w:r w:rsidR="00094308" w:rsidRPr="0079650B">
        <w:rPr>
          <w:rStyle w:val="FootnoteReference"/>
          <w:rFonts w:cstheme="minorHAnsi"/>
        </w:rPr>
        <w:footnoteReference w:id="7"/>
      </w:r>
      <w:r w:rsidR="00094308" w:rsidRPr="0079650B">
        <w:rPr>
          <w:rFonts w:cstheme="minorHAnsi"/>
        </w:rPr>
        <w:t xml:space="preserve"> </w:t>
      </w:r>
    </w:p>
    <w:p w14:paraId="77CF6A60" w14:textId="77777777" w:rsidR="00094308" w:rsidRDefault="00094308" w:rsidP="007C36E4">
      <w:pPr>
        <w:pStyle w:val="mpcNormal"/>
        <w:spacing w:after="0"/>
        <w:rPr>
          <w:rFonts w:cstheme="minorHAnsi"/>
        </w:rPr>
      </w:pPr>
    </w:p>
    <w:p w14:paraId="0796D256" w14:textId="168883AA" w:rsidR="00094308" w:rsidRPr="0079650B" w:rsidRDefault="00094308" w:rsidP="007C36E4">
      <w:pPr>
        <w:pStyle w:val="mpcNormal"/>
        <w:spacing w:after="0"/>
        <w:rPr>
          <w:rFonts w:cstheme="minorHAnsi"/>
        </w:rPr>
      </w:pPr>
      <w:r w:rsidRPr="0079650B">
        <w:rPr>
          <w:rFonts w:cstheme="minorHAnsi"/>
        </w:rPr>
        <w:t xml:space="preserve">Where the police certificate records an offence that is not a precluding offence, providers are expected to assess the suitability of the person to work with </w:t>
      </w:r>
      <w:r w:rsidR="006D0696">
        <w:rPr>
          <w:rFonts w:cstheme="minorHAnsi"/>
        </w:rPr>
        <w:t>consumers</w:t>
      </w:r>
      <w:r w:rsidRPr="0079650B">
        <w:rPr>
          <w:rFonts w:cstheme="minorHAnsi"/>
        </w:rPr>
        <w:t>.</w:t>
      </w:r>
      <w:r>
        <w:rPr>
          <w:rFonts w:cstheme="minorHAnsi"/>
        </w:rPr>
        <w:t xml:space="preserve"> </w:t>
      </w:r>
      <w:r w:rsidRPr="0079650B">
        <w:rPr>
          <w:rFonts w:cstheme="minorHAnsi"/>
        </w:rPr>
        <w:t xml:space="preserve">The </w:t>
      </w:r>
      <w:r w:rsidR="00E45AE7">
        <w:rPr>
          <w:rFonts w:cstheme="minorHAnsi"/>
        </w:rPr>
        <w:t>d</w:t>
      </w:r>
      <w:r w:rsidRPr="0079650B">
        <w:rPr>
          <w:rFonts w:cstheme="minorHAnsi"/>
        </w:rPr>
        <w:t xml:space="preserve">epartment publishes guidance for providers (the </w:t>
      </w:r>
      <w:r w:rsidRPr="0079650B">
        <w:rPr>
          <w:rFonts w:cstheme="minorHAnsi"/>
          <w:i/>
          <w:iCs/>
        </w:rPr>
        <w:t>Police Certificate Guidelines, July 2019</w:t>
      </w:r>
      <w:r w:rsidRPr="0079650B">
        <w:rPr>
          <w:rFonts w:cstheme="minorHAnsi"/>
        </w:rPr>
        <w:t>) about how to apply the requirements and assess worker suitability. These guidelines suggest</w:t>
      </w:r>
      <w:r w:rsidR="000E7EC5">
        <w:rPr>
          <w:rFonts w:cstheme="minorHAnsi"/>
        </w:rPr>
        <w:t xml:space="preserve"> </w:t>
      </w:r>
      <w:r w:rsidRPr="0079650B">
        <w:rPr>
          <w:rFonts w:cstheme="minorHAnsi"/>
        </w:rPr>
        <w:t xml:space="preserve">that: </w:t>
      </w:r>
    </w:p>
    <w:p w14:paraId="400FE1C4" w14:textId="77777777" w:rsidR="00094308" w:rsidRPr="0079650B" w:rsidRDefault="00094308" w:rsidP="007C36E4">
      <w:pPr>
        <w:pStyle w:val="mpcNormal"/>
        <w:spacing w:after="0"/>
        <w:rPr>
          <w:rFonts w:cstheme="minorHAnsi"/>
        </w:rPr>
      </w:pPr>
    </w:p>
    <w:p w14:paraId="3C5502B5" w14:textId="77777777" w:rsidR="00094308" w:rsidRPr="00200350" w:rsidRDefault="00094308" w:rsidP="00200350">
      <w:pPr>
        <w:pStyle w:val="mpcbullets1"/>
      </w:pPr>
      <w:r w:rsidRPr="00200350">
        <w:t>a provider’s decision regarding the employment of a person with any recorded convictions must be rigorous, defensible and transparent</w:t>
      </w:r>
    </w:p>
    <w:p w14:paraId="24559FD0" w14:textId="77777777" w:rsidR="00094308" w:rsidRPr="00200350" w:rsidRDefault="00094308" w:rsidP="00200350">
      <w:pPr>
        <w:pStyle w:val="mpcbullets1"/>
      </w:pPr>
      <w:r w:rsidRPr="00200350">
        <w:t>the provider should consider matters such as the degree of access the worker will have to consumers, the relevance of their convictions, when the conviction occurred, their employment history since the conviction and the probability of an incident occurring should the person be employed (or continue to be employed).</w:t>
      </w:r>
    </w:p>
    <w:p w14:paraId="60809415" w14:textId="6C0853EC" w:rsidR="00094308" w:rsidRPr="0079650B" w:rsidRDefault="00094308" w:rsidP="007C36E4">
      <w:pPr>
        <w:pStyle w:val="mpcNormal"/>
        <w:keepNext/>
        <w:spacing w:after="0"/>
        <w:rPr>
          <w:rFonts w:cstheme="minorHAnsi"/>
        </w:rPr>
      </w:pPr>
      <w:r w:rsidRPr="0079650B">
        <w:rPr>
          <w:rFonts w:cstheme="minorHAnsi"/>
        </w:rPr>
        <w:lastRenderedPageBreak/>
        <w:t xml:space="preserve">In addition, the </w:t>
      </w:r>
      <w:r>
        <w:rPr>
          <w:rFonts w:cstheme="minorHAnsi"/>
        </w:rPr>
        <w:t xml:space="preserve">aged care </w:t>
      </w:r>
      <w:r w:rsidR="006D0696">
        <w:rPr>
          <w:rFonts w:cstheme="minorHAnsi"/>
        </w:rPr>
        <w:t>legislation</w:t>
      </w:r>
      <w:r w:rsidR="006D0696" w:rsidRPr="0079650B">
        <w:rPr>
          <w:rFonts w:cstheme="minorHAnsi"/>
        </w:rPr>
        <w:t xml:space="preserve"> </w:t>
      </w:r>
      <w:r w:rsidRPr="0079650B">
        <w:rPr>
          <w:rFonts w:cstheme="minorHAnsi"/>
        </w:rPr>
        <w:t>places specific requirements on providers in relation to the suitability of key personnel (essentially someone who is a director or member of the service’s governing body or otherwise has authority or significant influence over the activities of the service):</w:t>
      </w:r>
    </w:p>
    <w:p w14:paraId="3FBDC80A" w14:textId="77777777" w:rsidR="00094308" w:rsidRPr="0079650B" w:rsidRDefault="00094308" w:rsidP="007C36E4">
      <w:pPr>
        <w:pStyle w:val="mpcNormal"/>
        <w:keepNext/>
        <w:spacing w:after="0"/>
        <w:rPr>
          <w:rFonts w:cstheme="minorHAnsi"/>
        </w:rPr>
      </w:pPr>
    </w:p>
    <w:p w14:paraId="6EAFFC60" w14:textId="77777777" w:rsidR="00094308" w:rsidRPr="00200350" w:rsidRDefault="00094308" w:rsidP="00200350">
      <w:pPr>
        <w:pStyle w:val="mpcbullets1"/>
      </w:pPr>
      <w:r w:rsidRPr="0079650B">
        <w:t xml:space="preserve">all </w:t>
      </w:r>
      <w:r w:rsidRPr="00200350">
        <w:t>key personnel must undergo police certificate checks, a bankruptcy search and previous employment and referee checks</w:t>
      </w:r>
      <w:r w:rsidRPr="00200350">
        <w:rPr>
          <w:rStyle w:val="FootnoteReference"/>
          <w:vertAlign w:val="baseline"/>
        </w:rPr>
        <w:footnoteReference w:id="8"/>
      </w:r>
    </w:p>
    <w:p w14:paraId="7071D96C" w14:textId="77777777" w:rsidR="00094308" w:rsidRPr="0079650B" w:rsidRDefault="00094308" w:rsidP="00200350">
      <w:pPr>
        <w:pStyle w:val="mpcbullets1"/>
      </w:pPr>
      <w:r w:rsidRPr="00200350">
        <w:t>there are certain circumstances in which key personnel are not permitted to be employed or continue to be retained in</w:t>
      </w:r>
      <w:r w:rsidRPr="0079650B">
        <w:t xml:space="preserve"> that role (i.e. convicted of indictable offences, insolvent, mental incapacity).</w:t>
      </w:r>
      <w:r w:rsidRPr="0079650B">
        <w:rPr>
          <w:rStyle w:val="FootnoteReference"/>
          <w:rFonts w:cstheme="minorHAnsi"/>
        </w:rPr>
        <w:footnoteReference w:id="9"/>
      </w:r>
    </w:p>
    <w:p w14:paraId="5AAEE976" w14:textId="77777777" w:rsidR="00094308" w:rsidRPr="0079650B" w:rsidRDefault="00094308" w:rsidP="007C36E4">
      <w:pPr>
        <w:pStyle w:val="mpcNormal"/>
        <w:spacing w:after="0"/>
        <w:ind w:left="360"/>
        <w:rPr>
          <w:rFonts w:cstheme="minorHAnsi"/>
        </w:rPr>
      </w:pPr>
    </w:p>
    <w:p w14:paraId="033F3CFF" w14:textId="77777777" w:rsidR="00094308" w:rsidRPr="006A14E3" w:rsidRDefault="00094308" w:rsidP="007C36E4">
      <w:pPr>
        <w:pStyle w:val="mpcNormal"/>
        <w:spacing w:after="0"/>
        <w:rPr>
          <w:rFonts w:cstheme="minorHAnsi"/>
        </w:rPr>
      </w:pPr>
      <w:r w:rsidRPr="0079650B">
        <w:rPr>
          <w:rFonts w:cstheme="minorHAnsi"/>
        </w:rPr>
        <w:t xml:space="preserve">Similar requirements exist in relation to care delivered </w:t>
      </w:r>
      <w:r w:rsidRPr="006A14E3">
        <w:rPr>
          <w:rFonts w:cstheme="minorHAnsi"/>
        </w:rPr>
        <w:t xml:space="preserve">under the Commonwealth Home Support Programme (CHSP) and National Aboriginal and Torres Strait Islander Flexible Aged Care Program (NATSIFACP) where providers are also required to comply with the Aged Care Quality Standards. </w:t>
      </w:r>
    </w:p>
    <w:p w14:paraId="2C13B00B" w14:textId="77777777" w:rsidR="00094308" w:rsidRPr="006A14E3" w:rsidRDefault="00094308" w:rsidP="007C36E4">
      <w:pPr>
        <w:pStyle w:val="mpcNormal"/>
        <w:spacing w:after="0"/>
        <w:rPr>
          <w:rFonts w:cstheme="minorHAnsi"/>
        </w:rPr>
      </w:pPr>
    </w:p>
    <w:p w14:paraId="47A78111" w14:textId="3AB7ED48" w:rsidR="00DC38ED" w:rsidRPr="006A14E3" w:rsidRDefault="00094308" w:rsidP="007C36E4">
      <w:pPr>
        <w:pStyle w:val="mpcNormal"/>
        <w:spacing w:after="0"/>
        <w:rPr>
          <w:rFonts w:cstheme="minorHAnsi"/>
        </w:rPr>
      </w:pPr>
      <w:r w:rsidRPr="006A14E3">
        <w:rPr>
          <w:rFonts w:cstheme="minorHAnsi"/>
        </w:rPr>
        <w:t>The relevant program manuals also require that all new staff members and executive decision makers have obtained a police certificate before they start work.</w:t>
      </w:r>
      <w:r w:rsidRPr="006A14E3">
        <w:rPr>
          <w:rStyle w:val="FootnoteReference"/>
          <w:rFonts w:cstheme="minorHAnsi"/>
        </w:rPr>
        <w:footnoteReference w:id="10"/>
      </w:r>
      <w:r w:rsidRPr="006A14E3">
        <w:rPr>
          <w:rFonts w:cstheme="minorHAnsi"/>
        </w:rPr>
        <w:t xml:space="preserve"> Due to the nature of these programs, there are exceptional circumstances where new staff members and executive decision makers can commence work prior to receipt of a police certificate.</w:t>
      </w:r>
    </w:p>
    <w:p w14:paraId="3D16B44E" w14:textId="2B0FE350" w:rsidR="001241AD" w:rsidRPr="006A14E3" w:rsidRDefault="001241AD" w:rsidP="007C36E4">
      <w:pPr>
        <w:pStyle w:val="mpcNormal"/>
        <w:spacing w:after="0"/>
        <w:rPr>
          <w:rFonts w:cstheme="minorHAnsi"/>
        </w:rPr>
      </w:pPr>
    </w:p>
    <w:p w14:paraId="7A9024CC" w14:textId="08810B17" w:rsidR="001241AD" w:rsidRDefault="001241AD" w:rsidP="001241AD">
      <w:pPr>
        <w:pStyle w:val="mpcNormal"/>
        <w:keepNext/>
        <w:spacing w:after="0"/>
        <w:rPr>
          <w:rFonts w:cstheme="minorHAnsi"/>
        </w:rPr>
      </w:pPr>
      <w:r w:rsidRPr="006A14E3">
        <w:rPr>
          <w:rFonts w:cstheme="minorHAnsi"/>
        </w:rPr>
        <w:t>Stakeholders were concerned that the existing police check requirements:</w:t>
      </w:r>
    </w:p>
    <w:p w14:paraId="599313AC" w14:textId="77777777" w:rsidR="006D0696" w:rsidRPr="006A14E3" w:rsidRDefault="006D0696" w:rsidP="001241AD">
      <w:pPr>
        <w:pStyle w:val="mpcNormal"/>
        <w:keepNext/>
        <w:spacing w:after="0"/>
        <w:rPr>
          <w:rFonts w:cstheme="minorHAnsi"/>
        </w:rPr>
      </w:pPr>
    </w:p>
    <w:p w14:paraId="06E0B1C8" w14:textId="77777777" w:rsidR="001241AD" w:rsidRPr="006A14E3" w:rsidRDefault="001241AD" w:rsidP="001241AD">
      <w:pPr>
        <w:pStyle w:val="mpcbullets1"/>
        <w:rPr>
          <w:rFonts w:cstheme="minorHAnsi"/>
        </w:rPr>
      </w:pPr>
      <w:r w:rsidRPr="006A14E3">
        <w:rPr>
          <w:rFonts w:cstheme="minorHAnsi"/>
        </w:rPr>
        <w:t>set too high a threshold for excluding a worker, noting that matters such as murder, sexual assault or assault resulting in imprisonment are extreme cases </w:t>
      </w:r>
    </w:p>
    <w:p w14:paraId="7510E8F2" w14:textId="77777777" w:rsidR="001241AD" w:rsidRPr="001241AD" w:rsidRDefault="001241AD" w:rsidP="001241AD">
      <w:pPr>
        <w:pStyle w:val="mpcbullets1"/>
        <w:rPr>
          <w:rFonts w:cstheme="minorHAnsi"/>
        </w:rPr>
      </w:pPr>
      <w:r w:rsidRPr="001241AD">
        <w:rPr>
          <w:rFonts w:cstheme="minorHAnsi"/>
        </w:rPr>
        <w:t>fail to risk assess workers based on more common offences or patterns of lower level offences that may indicate a worker is not suitable for working with vulnerable cohorts, including offences such as theft, neglect, fraud and deception</w:t>
      </w:r>
    </w:p>
    <w:p w14:paraId="24C57AF6" w14:textId="3A84BC19" w:rsidR="001241AD" w:rsidRPr="001241AD" w:rsidRDefault="001241AD" w:rsidP="001241AD">
      <w:pPr>
        <w:pStyle w:val="mpcbullets1"/>
        <w:rPr>
          <w:rFonts w:cstheme="minorHAnsi"/>
        </w:rPr>
      </w:pPr>
      <w:r w:rsidRPr="001241AD">
        <w:rPr>
          <w:rFonts w:cstheme="minorHAnsi"/>
        </w:rPr>
        <w:t>do not extend to conduct or suitability more broadly</w:t>
      </w:r>
    </w:p>
    <w:p w14:paraId="470AEA56" w14:textId="25FD61FF" w:rsidR="001241AD" w:rsidRPr="001241AD" w:rsidRDefault="001241AD" w:rsidP="001241AD">
      <w:pPr>
        <w:pStyle w:val="mpcbullets1"/>
        <w:rPr>
          <w:rFonts w:cstheme="minorHAnsi"/>
        </w:rPr>
      </w:pPr>
      <w:r w:rsidRPr="001241AD">
        <w:rPr>
          <w:rFonts w:cstheme="minorHAnsi"/>
        </w:rPr>
        <w:t>rely too heavily on the assessment of individual providers, rather than on a national approach </w:t>
      </w:r>
    </w:p>
    <w:p w14:paraId="08CCBD36" w14:textId="77777777" w:rsidR="001241AD" w:rsidRPr="001241AD" w:rsidRDefault="001241AD" w:rsidP="001241AD">
      <w:pPr>
        <w:pStyle w:val="mpcbullets1"/>
        <w:rPr>
          <w:rFonts w:cstheme="minorHAnsi"/>
        </w:rPr>
      </w:pPr>
      <w:r w:rsidRPr="001241AD">
        <w:rPr>
          <w:rFonts w:cstheme="minorHAnsi"/>
        </w:rPr>
        <w:t>are administratively burdensome for providers and workers </w:t>
      </w:r>
    </w:p>
    <w:p w14:paraId="31837D89" w14:textId="77777777" w:rsidR="001241AD" w:rsidRPr="001241AD" w:rsidRDefault="001241AD" w:rsidP="001241AD">
      <w:pPr>
        <w:pStyle w:val="mpcbullets1"/>
        <w:rPr>
          <w:rFonts w:cstheme="minorHAnsi"/>
        </w:rPr>
      </w:pPr>
      <w:r w:rsidRPr="001241AD">
        <w:rPr>
          <w:rFonts w:cstheme="minorHAnsi"/>
        </w:rPr>
        <w:t>are not conducted often enough to capture offences that occur between certificates and are otherwise not subject to real time updates.</w:t>
      </w:r>
    </w:p>
    <w:p w14:paraId="1D8B6F3C" w14:textId="77777777" w:rsidR="001241AD" w:rsidRDefault="001241AD" w:rsidP="001241AD">
      <w:pPr>
        <w:pStyle w:val="mpcbullets1"/>
        <w:numPr>
          <w:ilvl w:val="0"/>
          <w:numId w:val="0"/>
        </w:numPr>
        <w:rPr>
          <w:rFonts w:cstheme="minorHAnsi"/>
        </w:rPr>
      </w:pPr>
    </w:p>
    <w:p w14:paraId="1B9038C6" w14:textId="04A53235" w:rsidR="001241AD" w:rsidRDefault="001241AD" w:rsidP="001241AD">
      <w:pPr>
        <w:pStyle w:val="mpcbullets1"/>
        <w:numPr>
          <w:ilvl w:val="0"/>
          <w:numId w:val="0"/>
        </w:numPr>
        <w:rPr>
          <w:rFonts w:cstheme="minorHAnsi"/>
        </w:rPr>
      </w:pPr>
      <w:r w:rsidRPr="001241AD">
        <w:rPr>
          <w:rFonts w:cstheme="minorHAnsi"/>
        </w:rPr>
        <w:t xml:space="preserve">Stakeholders did however note that the current approach meant that workers were able to be engaged without much delay, which may be a challenge should workers need to apply for national risk assessments </w:t>
      </w:r>
      <w:r>
        <w:rPr>
          <w:rFonts w:cstheme="minorHAnsi"/>
        </w:rPr>
        <w:t xml:space="preserve">for </w:t>
      </w:r>
      <w:r w:rsidRPr="001241AD">
        <w:rPr>
          <w:rFonts w:cstheme="minorHAnsi"/>
        </w:rPr>
        <w:t>broader categories of offences and conduct. </w:t>
      </w:r>
    </w:p>
    <w:p w14:paraId="26C8959A" w14:textId="77777777" w:rsidR="0068231F" w:rsidRDefault="0068231F" w:rsidP="007C36E4">
      <w:pPr>
        <w:pStyle w:val="mpcNormal"/>
        <w:spacing w:after="0"/>
        <w:rPr>
          <w:rFonts w:cstheme="minorHAnsi"/>
        </w:rPr>
      </w:pPr>
    </w:p>
    <w:p w14:paraId="1B9FC730" w14:textId="672536B4" w:rsidR="00381061" w:rsidRDefault="00381061" w:rsidP="00A43469">
      <w:pPr>
        <w:pStyle w:val="mpcheading2"/>
        <w:pBdr>
          <w:bottom w:val="single" w:sz="4" w:space="0" w:color="auto"/>
        </w:pBdr>
      </w:pPr>
      <w:bookmarkStart w:id="23" w:name="_Toc45868443"/>
      <w:bookmarkStart w:id="24" w:name="_Toc49253236"/>
      <w:r>
        <w:t>Competency requirements</w:t>
      </w:r>
      <w:r w:rsidR="002D439C">
        <w:t xml:space="preserve"> in aged care</w:t>
      </w:r>
      <w:bookmarkEnd w:id="23"/>
      <w:bookmarkEnd w:id="24"/>
      <w:r>
        <w:t xml:space="preserve"> </w:t>
      </w:r>
    </w:p>
    <w:p w14:paraId="1B3175DD" w14:textId="5EF6266A" w:rsidR="008014EA" w:rsidRDefault="004C5305" w:rsidP="007C36E4">
      <w:pPr>
        <w:pStyle w:val="mpcNormal"/>
        <w:spacing w:after="0"/>
      </w:pPr>
      <w:r>
        <w:t xml:space="preserve">While there are no </w:t>
      </w:r>
      <w:r w:rsidR="00A43469">
        <w:t xml:space="preserve">specific </w:t>
      </w:r>
      <w:r w:rsidR="008014EA">
        <w:t>requirements in relation to competencies and</w:t>
      </w:r>
      <w:r w:rsidR="00670A2C">
        <w:t xml:space="preserve"> the</w:t>
      </w:r>
      <w:r w:rsidR="008014EA">
        <w:t xml:space="preserve"> ongoing training</w:t>
      </w:r>
      <w:r w:rsidR="00670A2C">
        <w:t xml:space="preserve"> of workers</w:t>
      </w:r>
      <w:r w:rsidR="008014EA">
        <w:t xml:space="preserve"> in the </w:t>
      </w:r>
      <w:r w:rsidR="000D1305" w:rsidRPr="005F17A3">
        <w:rPr>
          <w:i/>
          <w:iCs/>
        </w:rPr>
        <w:t xml:space="preserve">Aged Care </w:t>
      </w:r>
      <w:r w:rsidRPr="005F17A3">
        <w:rPr>
          <w:i/>
          <w:iCs/>
        </w:rPr>
        <w:t>Act</w:t>
      </w:r>
      <w:r w:rsidR="000D1305" w:rsidRPr="005F17A3">
        <w:rPr>
          <w:i/>
          <w:iCs/>
        </w:rPr>
        <w:t xml:space="preserve"> 1997</w:t>
      </w:r>
      <w:r w:rsidR="000D1305">
        <w:t xml:space="preserve"> (the Act)</w:t>
      </w:r>
      <w:r w:rsidR="008014EA">
        <w:t xml:space="preserve">, </w:t>
      </w:r>
      <w:r w:rsidR="00A16C42">
        <w:t xml:space="preserve">the </w:t>
      </w:r>
      <w:r w:rsidR="008014EA">
        <w:t xml:space="preserve">Aged Care Quality Standards </w:t>
      </w:r>
      <w:r>
        <w:t>require</w:t>
      </w:r>
      <w:r w:rsidR="00D36D41">
        <w:t xml:space="preserve"> that</w:t>
      </w:r>
      <w:r w:rsidR="008014EA">
        <w:t xml:space="preserve">: </w:t>
      </w:r>
    </w:p>
    <w:p w14:paraId="60E0956B" w14:textId="77777777" w:rsidR="008014EA" w:rsidRDefault="008014EA" w:rsidP="007C36E4">
      <w:pPr>
        <w:pStyle w:val="mpcNormal"/>
        <w:spacing w:after="0"/>
      </w:pPr>
    </w:p>
    <w:p w14:paraId="13852A92" w14:textId="51B21F9C" w:rsidR="00D36D41" w:rsidRDefault="00D36D41" w:rsidP="007C36E4">
      <w:pPr>
        <w:pStyle w:val="mpcbullets1"/>
      </w:pPr>
      <w:r w:rsidRPr="00DB362C">
        <w:t>an organisation has a workforce that is sufficient, and is skilled and qualified to provide safe, respectful and quality care and services</w:t>
      </w:r>
    </w:p>
    <w:p w14:paraId="4768E258" w14:textId="0734BAB4" w:rsidR="0031202B" w:rsidRPr="008014EA" w:rsidRDefault="00D36D41" w:rsidP="007C36E4">
      <w:pPr>
        <w:pStyle w:val="mpcbullets1"/>
      </w:pPr>
      <w:r>
        <w:lastRenderedPageBreak/>
        <w:t xml:space="preserve">members of the workforce </w:t>
      </w:r>
      <w:r w:rsidR="00C663C2" w:rsidRPr="008014EA">
        <w:t>are competent and have the qualifications and knowledge to effectively perform their role</w:t>
      </w:r>
      <w:r w:rsidR="008014EA">
        <w:t xml:space="preserve"> </w:t>
      </w:r>
      <w:r w:rsidR="004078E3">
        <w:t xml:space="preserve"> </w:t>
      </w:r>
    </w:p>
    <w:p w14:paraId="0100AF95" w14:textId="0E2FDF36" w:rsidR="008014EA" w:rsidRDefault="008014EA" w:rsidP="007C36E4">
      <w:pPr>
        <w:pStyle w:val="mpcbullets1"/>
      </w:pPr>
      <w:r w:rsidRPr="008014EA">
        <w:t>workers are recruited, trained, equipped and supported to deliver the outcomes required by the standards</w:t>
      </w:r>
      <w:r w:rsidR="004078E3">
        <w:t xml:space="preserve"> </w:t>
      </w:r>
    </w:p>
    <w:p w14:paraId="088AC579" w14:textId="64FED49F" w:rsidR="004078E3" w:rsidRPr="004078E3" w:rsidRDefault="008014EA" w:rsidP="007C36E4">
      <w:pPr>
        <w:pStyle w:val="mpcbullets1"/>
      </w:pPr>
      <w:r w:rsidRPr="004078E3">
        <w:rPr>
          <w:rFonts w:cstheme="minorHAnsi"/>
        </w:rPr>
        <w:t>regular assessment, monitoring and review of the performance of each member of the workforce</w:t>
      </w:r>
      <w:r w:rsidR="00FD270A">
        <w:rPr>
          <w:rFonts w:cstheme="minorHAnsi"/>
        </w:rPr>
        <w:t xml:space="preserve"> occurs</w:t>
      </w:r>
      <w:r w:rsidRPr="004078E3">
        <w:rPr>
          <w:rFonts w:cstheme="minorHAnsi"/>
        </w:rPr>
        <w:t>.</w:t>
      </w:r>
      <w:r w:rsidR="00D36D41" w:rsidRPr="00D36D41">
        <w:rPr>
          <w:rStyle w:val="FootnoteReference"/>
        </w:rPr>
        <w:t xml:space="preserve"> </w:t>
      </w:r>
      <w:r w:rsidR="00D36D41">
        <w:rPr>
          <w:rStyle w:val="FootnoteReference"/>
        </w:rPr>
        <w:footnoteReference w:id="11"/>
      </w:r>
      <w:r w:rsidRPr="004078E3">
        <w:rPr>
          <w:rFonts w:cstheme="minorHAnsi"/>
        </w:rPr>
        <w:t xml:space="preserve"> </w:t>
      </w:r>
    </w:p>
    <w:p w14:paraId="034CFECF" w14:textId="77777777" w:rsidR="004078E3" w:rsidRDefault="004078E3" w:rsidP="007C36E4">
      <w:pPr>
        <w:pStyle w:val="mpcbullets1"/>
        <w:numPr>
          <w:ilvl w:val="0"/>
          <w:numId w:val="0"/>
        </w:numPr>
      </w:pPr>
    </w:p>
    <w:p w14:paraId="58D51B1D" w14:textId="670A881A" w:rsidR="008014EA" w:rsidRPr="00521C3B" w:rsidRDefault="008014EA" w:rsidP="007C36E4">
      <w:pPr>
        <w:pStyle w:val="mpcbullets1"/>
        <w:numPr>
          <w:ilvl w:val="0"/>
          <w:numId w:val="0"/>
        </w:numPr>
      </w:pPr>
      <w:r w:rsidRPr="004078E3">
        <w:rPr>
          <w:rFonts w:cstheme="minorHAnsi"/>
        </w:rPr>
        <w:t>The</w:t>
      </w:r>
      <w:r w:rsidR="00DA74AD">
        <w:rPr>
          <w:rFonts w:cstheme="minorHAnsi"/>
        </w:rPr>
        <w:t xml:space="preserve"> </w:t>
      </w:r>
      <w:r w:rsidRPr="004078E3">
        <w:rPr>
          <w:rFonts w:cstheme="minorHAnsi"/>
        </w:rPr>
        <w:t xml:space="preserve">ACQS Commission assesses provider performance against these requirements, taking into </w:t>
      </w:r>
      <w:r w:rsidRPr="00521C3B">
        <w:rPr>
          <w:rFonts w:cstheme="minorHAnsi"/>
        </w:rPr>
        <w:t>account:</w:t>
      </w:r>
    </w:p>
    <w:p w14:paraId="027E0101" w14:textId="77777777" w:rsidR="008014EA" w:rsidRPr="00521C3B" w:rsidRDefault="008014EA" w:rsidP="007C36E4">
      <w:pPr>
        <w:pStyle w:val="mpcNormal"/>
        <w:spacing w:after="0"/>
        <w:rPr>
          <w:rFonts w:cstheme="minorHAnsi"/>
        </w:rPr>
      </w:pPr>
    </w:p>
    <w:p w14:paraId="36F93232" w14:textId="77777777" w:rsidR="008014EA" w:rsidRPr="00521C3B" w:rsidRDefault="008014EA" w:rsidP="007C36E4">
      <w:pPr>
        <w:pStyle w:val="mpcbullets1"/>
      </w:pPr>
      <w:r w:rsidRPr="00521C3B">
        <w:t>consumer feedback about whether they consider that staff are sufficiently skilled and capable to meet their care needs</w:t>
      </w:r>
    </w:p>
    <w:p w14:paraId="11076FCD" w14:textId="77777777" w:rsidR="008014EA" w:rsidRPr="00521C3B" w:rsidRDefault="008014EA" w:rsidP="007C36E4">
      <w:pPr>
        <w:pStyle w:val="mpcbullets1"/>
      </w:pPr>
      <w:r w:rsidRPr="00521C3B">
        <w:t>the documented competencies and capabilities for different roles</w:t>
      </w:r>
    </w:p>
    <w:p w14:paraId="6558C876" w14:textId="77777777" w:rsidR="008014EA" w:rsidRPr="00521C3B" w:rsidRDefault="008014EA" w:rsidP="007C36E4">
      <w:pPr>
        <w:pStyle w:val="mpcbullets1"/>
      </w:pPr>
      <w:r w:rsidRPr="00521C3B">
        <w:t xml:space="preserve">the organisation's staff performance framework </w:t>
      </w:r>
    </w:p>
    <w:p w14:paraId="3395A4E8" w14:textId="3DDE4593" w:rsidR="008014EA" w:rsidRPr="00521C3B" w:rsidRDefault="008014EA" w:rsidP="007C36E4">
      <w:pPr>
        <w:pStyle w:val="mpcbullets1"/>
      </w:pPr>
      <w:r w:rsidRPr="00521C3B">
        <w:t>feedback from managers and staff about their performance appraisals and the changes made following performance appraisals.</w:t>
      </w:r>
    </w:p>
    <w:p w14:paraId="131FDF5D" w14:textId="48C8A6C9" w:rsidR="00521C3B" w:rsidRDefault="00521C3B" w:rsidP="00521C3B">
      <w:pPr>
        <w:pStyle w:val="mpcbullets1"/>
        <w:numPr>
          <w:ilvl w:val="0"/>
          <w:numId w:val="0"/>
        </w:numPr>
        <w:ind w:left="360" w:hanging="360"/>
        <w:rPr>
          <w:highlight w:val="yellow"/>
        </w:rPr>
      </w:pPr>
    </w:p>
    <w:p w14:paraId="52533DC5" w14:textId="77777777" w:rsidR="00521C3B" w:rsidRDefault="00521C3B" w:rsidP="00521C3B">
      <w:pPr>
        <w:pStyle w:val="mpcbullets1"/>
        <w:numPr>
          <w:ilvl w:val="0"/>
          <w:numId w:val="0"/>
        </w:numPr>
        <w:rPr>
          <w:rFonts w:cstheme="minorHAnsi"/>
        </w:rPr>
      </w:pPr>
      <w:r w:rsidRPr="00521C3B">
        <w:rPr>
          <w:rFonts w:cstheme="minorHAnsi"/>
        </w:rPr>
        <w:t xml:space="preserve">Despite the above, </w:t>
      </w:r>
      <w:r>
        <w:rPr>
          <w:rFonts w:cstheme="minorHAnsi"/>
        </w:rPr>
        <w:t xml:space="preserve">some </w:t>
      </w:r>
      <w:r w:rsidRPr="00521C3B">
        <w:rPr>
          <w:rFonts w:cstheme="minorHAnsi"/>
        </w:rPr>
        <w:t xml:space="preserve">stakeholders </w:t>
      </w:r>
      <w:r>
        <w:rPr>
          <w:rFonts w:cstheme="minorHAnsi"/>
        </w:rPr>
        <w:t xml:space="preserve">expressed </w:t>
      </w:r>
      <w:r w:rsidRPr="00521C3B">
        <w:rPr>
          <w:rFonts w:cstheme="minorHAnsi"/>
        </w:rPr>
        <w:t xml:space="preserve">concern that the assessment of competency varied from service to service and that without a nationally consistent baseline for competencies and training, there is no clear expectation on providers for what 'skilled and qualified’ looks like. </w:t>
      </w:r>
    </w:p>
    <w:p w14:paraId="5DF62FD7" w14:textId="77777777" w:rsidR="00521C3B" w:rsidRDefault="00521C3B" w:rsidP="00521C3B">
      <w:pPr>
        <w:pStyle w:val="mpcbullets1"/>
        <w:numPr>
          <w:ilvl w:val="0"/>
          <w:numId w:val="0"/>
        </w:numPr>
        <w:rPr>
          <w:rFonts w:cstheme="minorHAnsi"/>
        </w:rPr>
      </w:pPr>
    </w:p>
    <w:p w14:paraId="71A29C15" w14:textId="77777777" w:rsidR="00521C3B" w:rsidRDefault="00521C3B" w:rsidP="00521C3B">
      <w:pPr>
        <w:pStyle w:val="mpcbullets1"/>
        <w:numPr>
          <w:ilvl w:val="0"/>
          <w:numId w:val="0"/>
        </w:numPr>
        <w:rPr>
          <w:rFonts w:cstheme="minorHAnsi"/>
        </w:rPr>
      </w:pPr>
      <w:r>
        <w:rPr>
          <w:rFonts w:cstheme="minorHAnsi"/>
        </w:rPr>
        <w:t>Some s</w:t>
      </w:r>
      <w:r w:rsidRPr="00521C3B">
        <w:rPr>
          <w:rFonts w:cstheme="minorHAnsi"/>
        </w:rPr>
        <w:t xml:space="preserve">takeholders </w:t>
      </w:r>
      <w:r>
        <w:rPr>
          <w:rFonts w:cstheme="minorHAnsi"/>
        </w:rPr>
        <w:t xml:space="preserve">highlighted </w:t>
      </w:r>
      <w:r w:rsidRPr="00521C3B">
        <w:rPr>
          <w:rFonts w:cstheme="minorHAnsi"/>
        </w:rPr>
        <w:t xml:space="preserve">that consumers should have a right to the same quality </w:t>
      </w:r>
      <w:r>
        <w:rPr>
          <w:rFonts w:cstheme="minorHAnsi"/>
        </w:rPr>
        <w:t xml:space="preserve">of </w:t>
      </w:r>
      <w:r w:rsidRPr="00521C3B">
        <w:rPr>
          <w:rFonts w:cstheme="minorHAnsi"/>
        </w:rPr>
        <w:t xml:space="preserve">care no matter which service they used and that the assessment of competencies should be measured at an earlier stage than during performance assessments by the ACQS Commission. </w:t>
      </w:r>
    </w:p>
    <w:p w14:paraId="7DB73D43" w14:textId="77777777" w:rsidR="00521C3B" w:rsidRDefault="00521C3B" w:rsidP="00521C3B">
      <w:pPr>
        <w:pStyle w:val="mpcbullets1"/>
        <w:numPr>
          <w:ilvl w:val="0"/>
          <w:numId w:val="0"/>
        </w:numPr>
        <w:rPr>
          <w:rFonts w:cstheme="minorHAnsi"/>
        </w:rPr>
      </w:pPr>
    </w:p>
    <w:p w14:paraId="2AEE8891" w14:textId="1F2FB9C5" w:rsidR="00521C3B" w:rsidRPr="00521C3B" w:rsidRDefault="00521C3B" w:rsidP="00521C3B">
      <w:pPr>
        <w:pStyle w:val="mpcbullets1"/>
        <w:numPr>
          <w:ilvl w:val="0"/>
          <w:numId w:val="0"/>
        </w:numPr>
        <w:rPr>
          <w:rFonts w:cstheme="minorHAnsi"/>
        </w:rPr>
      </w:pPr>
      <w:r>
        <w:rPr>
          <w:rFonts w:cstheme="minorHAnsi"/>
        </w:rPr>
        <w:t xml:space="preserve">Other stakeholders described the challenges designing </w:t>
      </w:r>
      <w:r w:rsidRPr="00521C3B">
        <w:rPr>
          <w:rFonts w:cstheme="minorHAnsi"/>
        </w:rPr>
        <w:t>competencies to accom</w:t>
      </w:r>
      <w:r>
        <w:rPr>
          <w:rFonts w:cstheme="minorHAnsi"/>
        </w:rPr>
        <w:t>m</w:t>
      </w:r>
      <w:r w:rsidRPr="00521C3B">
        <w:rPr>
          <w:rFonts w:cstheme="minorHAnsi"/>
        </w:rPr>
        <w:t xml:space="preserve">odate all service settings and environment, and </w:t>
      </w:r>
      <w:r>
        <w:rPr>
          <w:rFonts w:cstheme="minorHAnsi"/>
        </w:rPr>
        <w:t xml:space="preserve">noted that the </w:t>
      </w:r>
      <w:r w:rsidRPr="00521C3B">
        <w:rPr>
          <w:rFonts w:cstheme="minorHAnsi"/>
        </w:rPr>
        <w:t>current requirements are flexible for providers to adapt to the unique features of their service and consumers, e.g. regional and remote or specialist services. </w:t>
      </w:r>
    </w:p>
    <w:p w14:paraId="025F3D6A" w14:textId="77777777" w:rsidR="008014EA" w:rsidRPr="008014EA" w:rsidRDefault="008014EA" w:rsidP="007C36E4">
      <w:pPr>
        <w:pStyle w:val="mpcbullets1"/>
        <w:numPr>
          <w:ilvl w:val="0"/>
          <w:numId w:val="0"/>
        </w:numPr>
        <w:rPr>
          <w:rFonts w:cstheme="minorHAnsi"/>
        </w:rPr>
      </w:pPr>
    </w:p>
    <w:p w14:paraId="4D3E8D76" w14:textId="6E67DBB0" w:rsidR="00AB0AF9" w:rsidRPr="00AB0AF9" w:rsidRDefault="00AB0AF9" w:rsidP="007C36E4">
      <w:pPr>
        <w:pStyle w:val="mpcheading2"/>
      </w:pPr>
      <w:bookmarkStart w:id="25" w:name="_Toc45868444"/>
      <w:bookmarkStart w:id="26" w:name="_Toc49253237"/>
      <w:r w:rsidRPr="00AB0AF9">
        <w:t>Worker regulation in other schemes</w:t>
      </w:r>
      <w:bookmarkEnd w:id="25"/>
      <w:bookmarkEnd w:id="26"/>
      <w:r w:rsidRPr="00AB0AF9">
        <w:t xml:space="preserve"> </w:t>
      </w:r>
    </w:p>
    <w:p w14:paraId="3B9697F0" w14:textId="7630278A" w:rsidR="00FD535E" w:rsidRDefault="00687469" w:rsidP="007C36E4">
      <w:pPr>
        <w:pStyle w:val="mpcNormal"/>
        <w:keepNext/>
        <w:spacing w:after="0"/>
        <w:rPr>
          <w:rFonts w:cstheme="minorHAnsi"/>
        </w:rPr>
      </w:pPr>
      <w:r>
        <w:rPr>
          <w:rFonts w:cstheme="minorHAnsi"/>
        </w:rPr>
        <w:t>Two</w:t>
      </w:r>
      <w:r w:rsidRPr="00DB362C">
        <w:rPr>
          <w:rFonts w:cstheme="minorHAnsi"/>
        </w:rPr>
        <w:t xml:space="preserve"> existing Australian schemes </w:t>
      </w:r>
      <w:r>
        <w:rPr>
          <w:rFonts w:cstheme="minorHAnsi"/>
        </w:rPr>
        <w:t xml:space="preserve">that the Consultation Paper </w:t>
      </w:r>
      <w:r w:rsidR="00220DF9">
        <w:rPr>
          <w:rFonts w:cstheme="minorHAnsi"/>
        </w:rPr>
        <w:t xml:space="preserve">highlighted, </w:t>
      </w:r>
      <w:r>
        <w:rPr>
          <w:rFonts w:cstheme="minorHAnsi"/>
        </w:rPr>
        <w:t>and which stakeholders</w:t>
      </w:r>
      <w:r w:rsidR="00220DF9">
        <w:rPr>
          <w:rFonts w:cstheme="minorHAnsi"/>
        </w:rPr>
        <w:t xml:space="preserve"> referred to throughout submissions, are</w:t>
      </w:r>
      <w:r>
        <w:rPr>
          <w:rFonts w:cstheme="minorHAnsi"/>
        </w:rPr>
        <w:t xml:space="preserve"> the NDIS </w:t>
      </w:r>
      <w:r w:rsidR="00162ECF">
        <w:rPr>
          <w:rFonts w:cstheme="minorHAnsi"/>
        </w:rPr>
        <w:t>Worker Screening Check (the NDIS model)</w:t>
      </w:r>
      <w:r>
        <w:rPr>
          <w:rFonts w:cstheme="minorHAnsi"/>
        </w:rPr>
        <w:t xml:space="preserve"> and the </w:t>
      </w:r>
      <w:r w:rsidR="00162ECF" w:rsidRPr="00162ECF">
        <w:rPr>
          <w:rFonts w:cstheme="minorHAnsi"/>
        </w:rPr>
        <w:t>National Registration and Accreditation Scheme for health practitioners</w:t>
      </w:r>
      <w:r w:rsidR="00162ECF" w:rsidRPr="00DB362C">
        <w:rPr>
          <w:rFonts w:cstheme="minorHAnsi"/>
          <w:b/>
          <w:bCs/>
        </w:rPr>
        <w:t xml:space="preserve"> </w:t>
      </w:r>
      <w:r w:rsidR="00162ECF" w:rsidRPr="00162ECF">
        <w:rPr>
          <w:rFonts w:cstheme="minorHAnsi"/>
        </w:rPr>
        <w:t xml:space="preserve">(the </w:t>
      </w:r>
      <w:r w:rsidRPr="00162ECF">
        <w:rPr>
          <w:rFonts w:cstheme="minorHAnsi"/>
        </w:rPr>
        <w:t>National Scheme</w:t>
      </w:r>
      <w:r w:rsidR="00162ECF" w:rsidRPr="00162ECF">
        <w:rPr>
          <w:rFonts w:cstheme="minorHAnsi"/>
        </w:rPr>
        <w:t>)</w:t>
      </w:r>
      <w:r w:rsidRPr="00162ECF">
        <w:rPr>
          <w:rFonts w:cstheme="minorHAnsi"/>
        </w:rPr>
        <w:t>.</w:t>
      </w:r>
      <w:r>
        <w:rPr>
          <w:rFonts w:cstheme="minorHAnsi"/>
        </w:rPr>
        <w:t xml:space="preserve"> </w:t>
      </w:r>
    </w:p>
    <w:p w14:paraId="5859B34E" w14:textId="77777777" w:rsidR="00FD535E" w:rsidRDefault="00FD535E" w:rsidP="007C36E4">
      <w:pPr>
        <w:pStyle w:val="mpcNormal"/>
        <w:keepNext/>
        <w:spacing w:after="0"/>
        <w:rPr>
          <w:rFonts w:cstheme="minorHAnsi"/>
        </w:rPr>
      </w:pPr>
    </w:p>
    <w:p w14:paraId="40B0A52C" w14:textId="04F68486" w:rsidR="002259ED" w:rsidRDefault="00FD535E" w:rsidP="006A14E3">
      <w:pPr>
        <w:pStyle w:val="mpcNormal"/>
        <w:spacing w:after="0"/>
        <w:rPr>
          <w:rFonts w:cstheme="minorHAnsi"/>
        </w:rPr>
      </w:pPr>
      <w:r>
        <w:rPr>
          <w:rFonts w:cstheme="minorHAnsi"/>
        </w:rPr>
        <w:t>For the purposes of understanding the features of complementary schemes</w:t>
      </w:r>
      <w:r w:rsidR="00162ECF">
        <w:rPr>
          <w:rFonts w:cstheme="minorHAnsi"/>
        </w:rPr>
        <w:t xml:space="preserve"> and the regulation that sits alongside aged care</w:t>
      </w:r>
      <w:r>
        <w:rPr>
          <w:rFonts w:cstheme="minorHAnsi"/>
        </w:rPr>
        <w:t>, t</w:t>
      </w:r>
      <w:r w:rsidR="00687469">
        <w:rPr>
          <w:rFonts w:cstheme="minorHAnsi"/>
        </w:rPr>
        <w:t xml:space="preserve">he key elements of </w:t>
      </w:r>
      <w:r>
        <w:rPr>
          <w:rFonts w:cstheme="minorHAnsi"/>
        </w:rPr>
        <w:t>these two</w:t>
      </w:r>
      <w:r w:rsidR="00687469">
        <w:rPr>
          <w:rFonts w:cstheme="minorHAnsi"/>
        </w:rPr>
        <w:t xml:space="preserve"> schemes are</w:t>
      </w:r>
      <w:r w:rsidR="00687469" w:rsidRPr="00DB362C">
        <w:rPr>
          <w:rFonts w:cstheme="minorHAnsi"/>
        </w:rPr>
        <w:t xml:space="preserve"> </w:t>
      </w:r>
      <w:r>
        <w:rPr>
          <w:rFonts w:cstheme="minorHAnsi"/>
        </w:rPr>
        <w:t>repeated</w:t>
      </w:r>
      <w:r w:rsidR="00687469" w:rsidRPr="00DB362C">
        <w:rPr>
          <w:rFonts w:cstheme="minorHAnsi"/>
        </w:rPr>
        <w:t xml:space="preserve"> below</w:t>
      </w:r>
      <w:r w:rsidR="002259ED">
        <w:rPr>
          <w:rFonts w:cstheme="minorHAnsi"/>
        </w:rPr>
        <w:t xml:space="preserve">. These schemes </w:t>
      </w:r>
      <w:r w:rsidR="00687469" w:rsidRPr="00DB362C">
        <w:rPr>
          <w:rFonts w:cstheme="minorHAnsi"/>
        </w:rPr>
        <w:t xml:space="preserve">are instructive in the context of </w:t>
      </w:r>
      <w:r w:rsidR="00162ECF">
        <w:rPr>
          <w:rFonts w:cstheme="minorHAnsi"/>
        </w:rPr>
        <w:t>understanding</w:t>
      </w:r>
      <w:r w:rsidR="00687469" w:rsidRPr="00DB362C">
        <w:rPr>
          <w:rFonts w:cstheme="minorHAnsi"/>
        </w:rPr>
        <w:t xml:space="preserve"> </w:t>
      </w:r>
      <w:r w:rsidR="00D57D70">
        <w:rPr>
          <w:rFonts w:cstheme="minorHAnsi"/>
        </w:rPr>
        <w:t xml:space="preserve">how </w:t>
      </w:r>
      <w:r>
        <w:rPr>
          <w:rFonts w:cstheme="minorHAnsi"/>
        </w:rPr>
        <w:t>the</w:t>
      </w:r>
      <w:r w:rsidR="00D57D70">
        <w:rPr>
          <w:rFonts w:cstheme="minorHAnsi"/>
        </w:rPr>
        <w:t xml:space="preserve"> </w:t>
      </w:r>
      <w:r>
        <w:rPr>
          <w:rFonts w:cstheme="minorHAnsi"/>
        </w:rPr>
        <w:t xml:space="preserve">features considered by </w:t>
      </w:r>
      <w:r w:rsidR="006A267D">
        <w:rPr>
          <w:rFonts w:cstheme="minorHAnsi"/>
        </w:rPr>
        <w:t>stakeholders’</w:t>
      </w:r>
      <w:r w:rsidR="00D57D70">
        <w:rPr>
          <w:rFonts w:cstheme="minorHAnsi"/>
        </w:rPr>
        <w:t xml:space="preserve"> work in practice in other sectors. </w:t>
      </w:r>
    </w:p>
    <w:p w14:paraId="2348AD0B" w14:textId="77777777" w:rsidR="002259ED" w:rsidRDefault="002259ED" w:rsidP="006A14E3">
      <w:pPr>
        <w:pStyle w:val="mpcNormal"/>
        <w:spacing w:after="0"/>
        <w:rPr>
          <w:rFonts w:cstheme="minorHAnsi"/>
        </w:rPr>
      </w:pPr>
    </w:p>
    <w:p w14:paraId="39AB113C" w14:textId="69B8E376" w:rsidR="00081961" w:rsidRDefault="000E7EC5" w:rsidP="006A14E3">
      <w:pPr>
        <w:pStyle w:val="mpcNormal"/>
        <w:spacing w:after="0"/>
        <w:rPr>
          <w:rFonts w:cstheme="minorHAnsi"/>
        </w:rPr>
      </w:pPr>
      <w:r>
        <w:rPr>
          <w:rFonts w:cstheme="minorHAnsi"/>
        </w:rPr>
        <w:t>T</w:t>
      </w:r>
      <w:r w:rsidR="00964802">
        <w:rPr>
          <w:rFonts w:cstheme="minorHAnsi"/>
        </w:rPr>
        <w:t xml:space="preserve">he NDIS case study </w:t>
      </w:r>
      <w:r w:rsidR="00B574BA">
        <w:rPr>
          <w:rFonts w:cstheme="minorHAnsi"/>
        </w:rPr>
        <w:t xml:space="preserve">provides an </w:t>
      </w:r>
      <w:r w:rsidR="002259ED">
        <w:rPr>
          <w:rFonts w:cstheme="minorHAnsi"/>
        </w:rPr>
        <w:t>illustration</w:t>
      </w:r>
      <w:r w:rsidR="00964802">
        <w:rPr>
          <w:rFonts w:cstheme="minorHAnsi"/>
        </w:rPr>
        <w:t xml:space="preserve"> of a worker screening scheme and the National Scheme is a</w:t>
      </w:r>
      <w:r w:rsidR="00B574BA">
        <w:rPr>
          <w:rFonts w:cstheme="minorHAnsi"/>
        </w:rPr>
        <w:t xml:space="preserve">n </w:t>
      </w:r>
      <w:r w:rsidR="00964802">
        <w:rPr>
          <w:rFonts w:cstheme="minorHAnsi"/>
        </w:rPr>
        <w:t>example of a</w:t>
      </w:r>
      <w:r w:rsidR="00220DF9">
        <w:rPr>
          <w:rFonts w:cstheme="minorHAnsi"/>
        </w:rPr>
        <w:t xml:space="preserve"> </w:t>
      </w:r>
      <w:r w:rsidR="00964802">
        <w:rPr>
          <w:rFonts w:cstheme="minorHAnsi"/>
        </w:rPr>
        <w:t>registration scheme (which includes registration standards in relation to criminal history, English proficiency, minimum qualifications, CPD etc.).</w:t>
      </w:r>
      <w:r w:rsidR="00220DF9">
        <w:rPr>
          <w:rFonts w:cstheme="minorHAnsi"/>
        </w:rPr>
        <w:t xml:space="preserve"> </w:t>
      </w:r>
    </w:p>
    <w:p w14:paraId="7309854E" w14:textId="77777777" w:rsidR="00081961" w:rsidRDefault="00081961" w:rsidP="006A14E3">
      <w:pPr>
        <w:pStyle w:val="mpcNormal"/>
        <w:spacing w:after="0"/>
        <w:rPr>
          <w:rFonts w:cstheme="minorHAnsi"/>
        </w:rPr>
      </w:pPr>
    </w:p>
    <w:p w14:paraId="2417B43E" w14:textId="57204FA6" w:rsidR="00687469" w:rsidRDefault="00220DF9" w:rsidP="006A14E3">
      <w:pPr>
        <w:pStyle w:val="mpcNormal"/>
        <w:spacing w:after="0"/>
      </w:pPr>
      <w:r w:rsidRPr="00C56705">
        <w:rPr>
          <w:rFonts w:cstheme="minorHAnsi"/>
        </w:rPr>
        <w:lastRenderedPageBreak/>
        <w:t>Stakeholders variously referred to these schemes in providing their feedback to the consultation</w:t>
      </w:r>
      <w:r w:rsidR="00081961" w:rsidRPr="00C56705">
        <w:rPr>
          <w:rFonts w:cstheme="minorHAnsi"/>
        </w:rPr>
        <w:t xml:space="preserve">, including the particular </w:t>
      </w:r>
      <w:r w:rsidR="00081961" w:rsidRPr="00C56705">
        <w:t xml:space="preserve">features that they consider should be drawn into </w:t>
      </w:r>
      <w:r w:rsidR="00267129" w:rsidRPr="00C56705">
        <w:t xml:space="preserve">an </w:t>
      </w:r>
      <w:r w:rsidR="00081961" w:rsidRPr="00C56705">
        <w:t>aged care worker regulation scheme.</w:t>
      </w:r>
    </w:p>
    <w:p w14:paraId="0D9C79F6" w14:textId="77777777" w:rsidR="006A14E3" w:rsidRPr="00DB362C" w:rsidRDefault="006A14E3" w:rsidP="006A14E3">
      <w:pPr>
        <w:pStyle w:val="mpcNormal"/>
        <w:spacing w:after="0"/>
        <w:rPr>
          <w:rFonts w:cstheme="minorHAnsi"/>
        </w:rPr>
      </w:pPr>
    </w:p>
    <w:tbl>
      <w:tblPr>
        <w:tblStyle w:val="TableGrid"/>
        <w:tblW w:w="0" w:type="auto"/>
        <w:tblLook w:val="04A0" w:firstRow="1" w:lastRow="0" w:firstColumn="1" w:lastColumn="0" w:noHBand="0" w:noVBand="1"/>
      </w:tblPr>
      <w:tblGrid>
        <w:gridCol w:w="9736"/>
      </w:tblGrid>
      <w:tr w:rsidR="00687469" w:rsidRPr="00DB362C" w14:paraId="7451D12E" w14:textId="77777777" w:rsidTr="00220DF9">
        <w:tc>
          <w:tcPr>
            <w:tcW w:w="9736" w:type="dxa"/>
            <w:shd w:val="clear" w:color="auto" w:fill="FFF2CC" w:themeFill="accent4" w:themeFillTint="33"/>
          </w:tcPr>
          <w:p w14:paraId="3C6A8644" w14:textId="40CF2515" w:rsidR="00687469" w:rsidRPr="00DB362C" w:rsidRDefault="00687469" w:rsidP="007C36E4">
            <w:pPr>
              <w:pStyle w:val="mpcNormal"/>
              <w:keepNext/>
              <w:spacing w:after="0"/>
              <w:rPr>
                <w:rFonts w:cstheme="minorHAnsi"/>
                <w:b/>
                <w:bCs/>
              </w:rPr>
            </w:pPr>
            <w:r w:rsidRPr="00DB362C">
              <w:rPr>
                <w:rFonts w:cstheme="minorHAnsi"/>
                <w:b/>
                <w:bCs/>
              </w:rPr>
              <w:t xml:space="preserve">Case Study 1 – NDIS Worker Screening Check and Database </w:t>
            </w:r>
          </w:p>
          <w:p w14:paraId="5DADAD14" w14:textId="77777777" w:rsidR="00687469" w:rsidRPr="00DB362C" w:rsidRDefault="00687469" w:rsidP="007C36E4">
            <w:pPr>
              <w:pStyle w:val="mpcNormal"/>
              <w:keepNext/>
              <w:spacing w:after="0"/>
              <w:rPr>
                <w:rFonts w:cstheme="minorHAnsi"/>
              </w:rPr>
            </w:pPr>
          </w:p>
          <w:p w14:paraId="6AD5B1F4" w14:textId="77777777" w:rsidR="00687469" w:rsidRPr="00DB362C" w:rsidRDefault="00687469" w:rsidP="007C36E4">
            <w:pPr>
              <w:pStyle w:val="mpcNormal"/>
              <w:keepNext/>
              <w:spacing w:after="0"/>
              <w:rPr>
                <w:rFonts w:cstheme="minorHAnsi"/>
              </w:rPr>
            </w:pPr>
            <w:r w:rsidRPr="00DB362C">
              <w:rPr>
                <w:rFonts w:cstheme="minorHAnsi"/>
              </w:rPr>
              <w:t>Key features of this scheme:</w:t>
            </w:r>
          </w:p>
          <w:p w14:paraId="2318C7BE" w14:textId="77777777" w:rsidR="00687469" w:rsidRPr="00DB362C" w:rsidRDefault="00687469" w:rsidP="007C36E4">
            <w:pPr>
              <w:pStyle w:val="mpcNormal"/>
              <w:keepNext/>
              <w:spacing w:after="0"/>
              <w:rPr>
                <w:rFonts w:cstheme="minorHAnsi"/>
              </w:rPr>
            </w:pPr>
          </w:p>
          <w:p w14:paraId="08B37F4C" w14:textId="77777777" w:rsidR="00687469" w:rsidRDefault="00687469" w:rsidP="007C36E4">
            <w:pPr>
              <w:pStyle w:val="mpcbullets1"/>
              <w:keepNext/>
            </w:pPr>
            <w:r w:rsidRPr="00DB362C">
              <w:t>Applies to workers in risk-assessed roles (i.e. key personnel, those workers who</w:t>
            </w:r>
            <w:r>
              <w:t>se normal duties include</w:t>
            </w:r>
            <w:r w:rsidRPr="00DB362C">
              <w:t xml:space="preserve"> either direct delivery of </w:t>
            </w:r>
            <w:r>
              <w:t xml:space="preserve">specified </w:t>
            </w:r>
            <w:r w:rsidRPr="00DB362C">
              <w:t xml:space="preserve">supports and services or </w:t>
            </w:r>
            <w:r>
              <w:t xml:space="preserve">are likely to require </w:t>
            </w:r>
            <w:r w:rsidRPr="00DB362C">
              <w:t>more than incidental contact with people with disability).</w:t>
            </w:r>
            <w:r>
              <w:t xml:space="preserve"> </w:t>
            </w:r>
          </w:p>
          <w:p w14:paraId="69272DB8" w14:textId="77777777" w:rsidR="00687469" w:rsidRPr="00DB362C" w:rsidRDefault="00687469" w:rsidP="007C36E4">
            <w:pPr>
              <w:pStyle w:val="mpcbullets1"/>
            </w:pPr>
            <w:r>
              <w:t xml:space="preserve">It is a condition of registration that registered NDIS providers ensure workers in risk-assessed roles have a NDIS Worker Screening Check. </w:t>
            </w:r>
          </w:p>
          <w:p w14:paraId="1F11E501" w14:textId="77777777" w:rsidR="00687469" w:rsidRPr="00DB362C" w:rsidRDefault="00687469" w:rsidP="007C36E4">
            <w:pPr>
              <w:pStyle w:val="mpcbullets1"/>
            </w:pPr>
            <w:r w:rsidRPr="00DB362C">
              <w:t xml:space="preserve">Screening is undertaken across three </w:t>
            </w:r>
            <w:r>
              <w:t>tiers</w:t>
            </w:r>
            <w:r w:rsidRPr="00DB362C">
              <w:t>: convictions that result in automatic exclusion</w:t>
            </w:r>
            <w:r>
              <w:t xml:space="preserve"> (Tier 1)</w:t>
            </w:r>
            <w:r w:rsidRPr="00DB362C">
              <w:t>; convictions and circumstances presumed to disqualify a person</w:t>
            </w:r>
            <w:r>
              <w:t xml:space="preserve"> (Tier 2)</w:t>
            </w:r>
            <w:r w:rsidRPr="00DB362C">
              <w:t>; and convictions and conduct that require a risk</w:t>
            </w:r>
            <w:r>
              <w:t xml:space="preserve"> </w:t>
            </w:r>
            <w:r w:rsidRPr="00DB362C">
              <w:t>assessment</w:t>
            </w:r>
            <w:r>
              <w:t xml:space="preserve"> (Tier 3)</w:t>
            </w:r>
            <w:r w:rsidRPr="00DB362C">
              <w:t xml:space="preserve">. </w:t>
            </w:r>
          </w:p>
          <w:p w14:paraId="0C8B2631" w14:textId="77777777" w:rsidR="00687469" w:rsidRPr="00DB362C" w:rsidRDefault="00687469" w:rsidP="007C36E4">
            <w:pPr>
              <w:pStyle w:val="mpcbullets1"/>
            </w:pPr>
            <w:r w:rsidRPr="00DB362C">
              <w:t xml:space="preserve">Worker screening is undertaken by State/Territory </w:t>
            </w:r>
            <w:r>
              <w:t xml:space="preserve">worker </w:t>
            </w:r>
            <w:r w:rsidRPr="00DB362C">
              <w:t>screening units</w:t>
            </w:r>
            <w:r>
              <w:t xml:space="preserve"> (WSUs)</w:t>
            </w:r>
            <w:r w:rsidRPr="00DB362C">
              <w:t xml:space="preserve">, which consider a person’s circumstances and any risk to determine whether convictions and/or circumstances warrant an exclusion decision. </w:t>
            </w:r>
          </w:p>
          <w:p w14:paraId="5144DC93" w14:textId="77777777" w:rsidR="00687469" w:rsidRPr="00DB362C" w:rsidRDefault="00687469" w:rsidP="007C36E4">
            <w:pPr>
              <w:pStyle w:val="mpcbullets1"/>
            </w:pPr>
            <w:r w:rsidRPr="00DB362C">
              <w:t xml:space="preserve">Clearances remain current (and are valid nationally) for five years. </w:t>
            </w:r>
          </w:p>
          <w:p w14:paraId="59CEC4C6" w14:textId="77777777" w:rsidR="00687469" w:rsidRPr="00DB362C" w:rsidRDefault="00687469" w:rsidP="007C36E4">
            <w:pPr>
              <w:pStyle w:val="mpcbullets1"/>
            </w:pPr>
            <w:r w:rsidRPr="00DB362C">
              <w:t xml:space="preserve">Workers can seek internal review by the </w:t>
            </w:r>
            <w:r>
              <w:t>WSU</w:t>
            </w:r>
            <w:r w:rsidRPr="00DB362C">
              <w:t xml:space="preserve"> for certain decisions including decisions to issue an exclusion and revocations or suspensions of an NDIS Worker Screening Check</w:t>
            </w:r>
            <w:r>
              <w:t xml:space="preserve"> (except exclusion decisions from Tier 1 offences)</w:t>
            </w:r>
            <w:r w:rsidRPr="00DB362C">
              <w:t>. If the individual is not satisfied after the internal review, they may seek an external review by a tribunal or authority within that jurisdiction.</w:t>
            </w:r>
          </w:p>
          <w:p w14:paraId="6C5FC3CF" w14:textId="062594A8" w:rsidR="00687469" w:rsidRPr="00DB362C" w:rsidRDefault="003F1551" w:rsidP="007C36E4">
            <w:pPr>
              <w:pStyle w:val="mpcbullets1"/>
            </w:pPr>
            <w:r>
              <w:t>The</w:t>
            </w:r>
            <w:r w:rsidR="00687469" w:rsidRPr="00DB362C">
              <w:t xml:space="preserve"> NDIS </w:t>
            </w:r>
            <w:r w:rsidR="00687469">
              <w:t xml:space="preserve">Quality and Safeguards </w:t>
            </w:r>
            <w:r w:rsidR="00687469" w:rsidRPr="00DB362C">
              <w:t>Commission</w:t>
            </w:r>
            <w:r w:rsidR="00687469">
              <w:t xml:space="preserve"> (NDIS Commission)</w:t>
            </w:r>
            <w:r w:rsidR="00687469" w:rsidRPr="00DB362C">
              <w:t xml:space="preserve"> </w:t>
            </w:r>
            <w:r>
              <w:t xml:space="preserve">will </w:t>
            </w:r>
            <w:r w:rsidR="00687469" w:rsidRPr="00DB362C">
              <w:t xml:space="preserve">maintain a national database </w:t>
            </w:r>
            <w:r w:rsidR="00687469">
              <w:t xml:space="preserve">known as the NDIS </w:t>
            </w:r>
            <w:r w:rsidR="00687469" w:rsidRPr="00DB362C">
              <w:t xml:space="preserve">Worker Screening Database </w:t>
            </w:r>
            <w:r w:rsidR="009D2D14">
              <w:t xml:space="preserve">(NDIS Database) </w:t>
            </w:r>
            <w:r w:rsidR="00687469" w:rsidRPr="00DB362C">
              <w:t xml:space="preserve">which </w:t>
            </w:r>
            <w:r>
              <w:t xml:space="preserve">will </w:t>
            </w:r>
            <w:r w:rsidR="00687469" w:rsidRPr="00DB362C">
              <w:t xml:space="preserve">contain details about </w:t>
            </w:r>
            <w:r w:rsidR="00CA623A">
              <w:t>a</w:t>
            </w:r>
            <w:r w:rsidR="00CA623A" w:rsidRPr="00DB362C">
              <w:t xml:space="preserve"> </w:t>
            </w:r>
            <w:r w:rsidR="00687469" w:rsidRPr="00DB362C">
              <w:t xml:space="preserve">worker’s clearance including whether there is an exclusion decision or clearance decision and the status of the clearance. </w:t>
            </w:r>
            <w:r w:rsidR="00FD270A">
              <w:t xml:space="preserve">The NDIS Database is currently due to roll out in February 2021. </w:t>
            </w:r>
          </w:p>
          <w:p w14:paraId="30E7BAE9" w14:textId="77777777" w:rsidR="00687469" w:rsidRPr="00DB362C" w:rsidRDefault="00687469" w:rsidP="007C36E4">
            <w:pPr>
              <w:pStyle w:val="mpcbullets1"/>
            </w:pPr>
            <w:r w:rsidRPr="00DB362C">
              <w:t xml:space="preserve">Certain persons and bodies, including the </w:t>
            </w:r>
            <w:r>
              <w:t>WSUs</w:t>
            </w:r>
            <w:r w:rsidRPr="00DB362C">
              <w:t>, will have access to the database and the NDIS Commission will monitor access on the basis that information provided is only done so to the extent that is proportionate and necessary.</w:t>
            </w:r>
          </w:p>
          <w:p w14:paraId="44FA46E6" w14:textId="77777777" w:rsidR="00687469" w:rsidRPr="00DB362C" w:rsidRDefault="00687469" w:rsidP="007C36E4">
            <w:pPr>
              <w:pStyle w:val="mpcbullets1"/>
            </w:pPr>
            <w:r w:rsidRPr="00DB362C">
              <w:t>Employers will be able to enter a potential or existing employee’s name and application number (held by the worker) for confirmation of whether the person is cleared, or if the person is excluded.</w:t>
            </w:r>
          </w:p>
          <w:p w14:paraId="507EBF9E" w14:textId="2B4C8339" w:rsidR="00687469" w:rsidRPr="00DB362C" w:rsidRDefault="00687469" w:rsidP="007C36E4">
            <w:pPr>
              <w:pStyle w:val="mpcbullets1"/>
            </w:pPr>
            <w:r w:rsidRPr="00DB362C">
              <w:t xml:space="preserve">The NDIS Code applies to all workers (including registered health professionals). Complaints regarding the </w:t>
            </w:r>
            <w:r w:rsidR="00CA623A">
              <w:t xml:space="preserve">NDIS </w:t>
            </w:r>
            <w:r w:rsidRPr="00DB362C">
              <w:t xml:space="preserve">Code are managed by the NDIS Commission, and findings may be referred to the </w:t>
            </w:r>
            <w:r>
              <w:t xml:space="preserve">WSUs </w:t>
            </w:r>
            <w:r w:rsidRPr="00DB362C">
              <w:t xml:space="preserve">for consideration in the context of a worker’s ongoing clearance. </w:t>
            </w:r>
          </w:p>
          <w:p w14:paraId="2989F6FA" w14:textId="77777777" w:rsidR="00687469" w:rsidRPr="00DB362C" w:rsidRDefault="00687469" w:rsidP="007C36E4">
            <w:pPr>
              <w:pStyle w:val="mpcbullets1"/>
            </w:pPr>
            <w:r w:rsidRPr="00DB362C">
              <w:t xml:space="preserve">The NDIS model does not address minimum qualifications or CPD. This is a policy decision based on a focus on participant choice and control and a desire to see workers with the right capabilities and experience (matched to the participant’s need and preferences) rather than only formal qualifications. The intent is to build a workforce that represents the different needs and interests of participants including age, gender, language and culture. </w:t>
            </w:r>
          </w:p>
          <w:p w14:paraId="2CD4A1D9" w14:textId="77777777" w:rsidR="00687469" w:rsidRPr="00DB362C" w:rsidRDefault="00687469" w:rsidP="007C36E4">
            <w:pPr>
              <w:pStyle w:val="mpcNormal"/>
              <w:spacing w:after="0"/>
              <w:rPr>
                <w:rFonts w:cstheme="minorHAnsi"/>
              </w:rPr>
            </w:pPr>
          </w:p>
        </w:tc>
      </w:tr>
    </w:tbl>
    <w:p w14:paraId="01D2B944" w14:textId="5837CE42" w:rsidR="009649D2" w:rsidRDefault="009649D2" w:rsidP="007C36E4">
      <w:pPr>
        <w:pStyle w:val="mpcNormal"/>
        <w:spacing w:after="0"/>
        <w:rPr>
          <w:rFonts w:cstheme="minorHAnsi"/>
        </w:rPr>
      </w:pPr>
      <w:r>
        <w:rPr>
          <w:rFonts w:cstheme="minorHAnsi"/>
        </w:rPr>
        <w:br w:type="page"/>
      </w:r>
    </w:p>
    <w:p w14:paraId="6FF08F3E" w14:textId="77777777" w:rsidR="00687469" w:rsidRPr="00DB362C" w:rsidRDefault="00687469" w:rsidP="007C36E4">
      <w:pPr>
        <w:pStyle w:val="mpcNormal"/>
        <w:spacing w:after="0"/>
        <w:rPr>
          <w:rFonts w:cstheme="minorHAnsi"/>
        </w:rPr>
      </w:pPr>
    </w:p>
    <w:tbl>
      <w:tblPr>
        <w:tblStyle w:val="TableGrid"/>
        <w:tblW w:w="0" w:type="auto"/>
        <w:tblLook w:val="04A0" w:firstRow="1" w:lastRow="0" w:firstColumn="1" w:lastColumn="0" w:noHBand="0" w:noVBand="1"/>
      </w:tblPr>
      <w:tblGrid>
        <w:gridCol w:w="9736"/>
      </w:tblGrid>
      <w:tr w:rsidR="00687469" w:rsidRPr="00DB362C" w14:paraId="5F0A2784" w14:textId="77777777" w:rsidTr="00220DF9">
        <w:tc>
          <w:tcPr>
            <w:tcW w:w="9736" w:type="dxa"/>
            <w:shd w:val="clear" w:color="auto" w:fill="FBE4D5" w:themeFill="accent2" w:themeFillTint="33"/>
          </w:tcPr>
          <w:p w14:paraId="090FA45E" w14:textId="25DFEC05" w:rsidR="00687469" w:rsidRPr="00DB362C" w:rsidRDefault="00687469" w:rsidP="007C36E4">
            <w:pPr>
              <w:pStyle w:val="mpcNormal"/>
              <w:spacing w:after="0"/>
              <w:rPr>
                <w:rFonts w:cstheme="minorHAnsi"/>
                <w:b/>
                <w:bCs/>
              </w:rPr>
            </w:pPr>
            <w:r w:rsidRPr="00DB362C">
              <w:rPr>
                <w:rFonts w:cstheme="minorHAnsi"/>
                <w:b/>
                <w:bCs/>
              </w:rPr>
              <w:t xml:space="preserve">Case Study 2 – National Registration and Accreditation Scheme for health practitioners </w:t>
            </w:r>
          </w:p>
          <w:p w14:paraId="38215EAD" w14:textId="77777777" w:rsidR="00687469" w:rsidRPr="00DB362C" w:rsidRDefault="00687469" w:rsidP="007C36E4">
            <w:pPr>
              <w:pStyle w:val="mpcNormal"/>
              <w:spacing w:after="0"/>
              <w:rPr>
                <w:rFonts w:cstheme="minorHAnsi"/>
              </w:rPr>
            </w:pPr>
            <w:r w:rsidRPr="00DB362C">
              <w:rPr>
                <w:rFonts w:cstheme="minorHAnsi"/>
              </w:rPr>
              <w:t xml:space="preserve"> </w:t>
            </w:r>
          </w:p>
          <w:p w14:paraId="7339D2FC" w14:textId="77777777" w:rsidR="00687469" w:rsidRPr="00DB362C" w:rsidRDefault="00687469" w:rsidP="007C36E4">
            <w:pPr>
              <w:pStyle w:val="mpcNormal"/>
              <w:spacing w:after="0"/>
              <w:rPr>
                <w:rFonts w:cstheme="minorHAnsi"/>
              </w:rPr>
            </w:pPr>
            <w:r w:rsidRPr="00DB362C">
              <w:rPr>
                <w:rFonts w:cstheme="minorHAnsi"/>
              </w:rPr>
              <w:t>Key features of this scheme:</w:t>
            </w:r>
          </w:p>
          <w:p w14:paraId="0C5FF9F9" w14:textId="77777777" w:rsidR="00687469" w:rsidRDefault="00687469" w:rsidP="007C36E4">
            <w:pPr>
              <w:pStyle w:val="mpcNormal"/>
              <w:spacing w:after="0"/>
              <w:rPr>
                <w:rFonts w:cstheme="minorHAnsi"/>
              </w:rPr>
            </w:pPr>
          </w:p>
          <w:p w14:paraId="590572A3" w14:textId="1CAC98C9" w:rsidR="00687469" w:rsidRDefault="00687469" w:rsidP="007C36E4">
            <w:pPr>
              <w:pStyle w:val="mpcbullets1"/>
              <w:pBdr>
                <w:left w:val="single" w:sz="4" w:space="4" w:color="auto"/>
                <w:bottom w:val="single" w:sz="4" w:space="1" w:color="auto"/>
                <w:right w:val="single" w:sz="4" w:space="4" w:color="auto"/>
              </w:pBdr>
            </w:pPr>
            <w:r>
              <w:t xml:space="preserve">The National Scheme regulates 16 health professions.  </w:t>
            </w:r>
          </w:p>
          <w:p w14:paraId="410BC55C" w14:textId="3152F2A1" w:rsidR="00687469" w:rsidRDefault="00687469" w:rsidP="007C36E4">
            <w:pPr>
              <w:pStyle w:val="mpcbullets1"/>
              <w:pBdr>
                <w:left w:val="single" w:sz="4" w:space="4" w:color="auto"/>
                <w:bottom w:val="single" w:sz="4" w:space="1" w:color="auto"/>
                <w:right w:val="single" w:sz="4" w:space="4" w:color="auto"/>
              </w:pBdr>
            </w:pPr>
            <w:r>
              <w:t xml:space="preserve">Registration standards are set by each of the 15 National Boards that collectively regulate 16 health professions. Registration standards cover matters such as a person’s criminal history (with relevant offences varying between jurisdictions), English language skills, </w:t>
            </w:r>
            <w:r w:rsidR="00CA623A">
              <w:t xml:space="preserve">CPD </w:t>
            </w:r>
            <w:r>
              <w:t>requirements for ongoing education, professional indemnity insurance arrangements and requirements for recency of practice.</w:t>
            </w:r>
          </w:p>
          <w:p w14:paraId="7B9F34B5" w14:textId="62B77A90" w:rsidR="00687469" w:rsidRDefault="00687469" w:rsidP="007C36E4">
            <w:pPr>
              <w:pStyle w:val="mpcbullets1"/>
              <w:pBdr>
                <w:left w:val="single" w:sz="4" w:space="4" w:color="auto"/>
                <w:bottom w:val="single" w:sz="4" w:space="1" w:color="auto"/>
                <w:right w:val="single" w:sz="4" w:space="4" w:color="auto"/>
              </w:pBdr>
            </w:pPr>
            <w:r>
              <w:t xml:space="preserve">The </w:t>
            </w:r>
            <w:r w:rsidR="00DC6D26">
              <w:t>Health Practitioner</w:t>
            </w:r>
            <w:r>
              <w:t xml:space="preserve"> </w:t>
            </w:r>
            <w:r w:rsidR="00DC6D26">
              <w:t xml:space="preserve">Regulation National </w:t>
            </w:r>
            <w:r>
              <w:t xml:space="preserve">Law </w:t>
            </w:r>
            <w:r w:rsidR="00DC6D26">
              <w:t xml:space="preserve">(National Law) </w:t>
            </w:r>
            <w:r>
              <w:t xml:space="preserve">is the legislative foundation of the National Scheme. Under the National Law, there is a set of protected titles that apply to registered practitioners. Penalties apply to people who use these protected titles when they are not entitled to.  </w:t>
            </w:r>
          </w:p>
          <w:p w14:paraId="25B5FF3D" w14:textId="77777777" w:rsidR="00687469" w:rsidRDefault="00687469" w:rsidP="007C36E4">
            <w:pPr>
              <w:pStyle w:val="mpcbullets1"/>
              <w:pBdr>
                <w:left w:val="single" w:sz="4" w:space="4" w:color="auto"/>
                <w:bottom w:val="single" w:sz="4" w:space="1" w:color="auto"/>
                <w:right w:val="single" w:sz="4" w:space="4" w:color="auto"/>
              </w:pBdr>
            </w:pPr>
            <w:r>
              <w:t>Under the National Law, registration must be renewed annually.</w:t>
            </w:r>
          </w:p>
          <w:p w14:paraId="520D87D3" w14:textId="77777777" w:rsidR="00687469" w:rsidRDefault="00687469" w:rsidP="007C36E4">
            <w:pPr>
              <w:pStyle w:val="mpcbullets1"/>
              <w:pBdr>
                <w:left w:val="single" w:sz="4" w:space="4" w:color="auto"/>
                <w:bottom w:val="single" w:sz="4" w:space="1" w:color="auto"/>
                <w:right w:val="single" w:sz="4" w:space="4" w:color="auto"/>
              </w:pBdr>
            </w:pPr>
            <w:r>
              <w:t>Ahpra maintains a public register of health practitioners, which can be searched by family name or registration number. Information on the register includes the information about a practitioner’s registration and registration expiry date, endorsements, conditions on registration, disciplinary matters, etc. There is also a register for cancelled and/or prohibited health practitioners.</w:t>
            </w:r>
          </w:p>
          <w:p w14:paraId="6C207A1F" w14:textId="7A6B30CE" w:rsidR="00687469" w:rsidRDefault="00687469" w:rsidP="007C36E4">
            <w:pPr>
              <w:pStyle w:val="mpcbullets1"/>
              <w:pBdr>
                <w:left w:val="single" w:sz="4" w:space="4" w:color="auto"/>
                <w:bottom w:val="single" w:sz="4" w:space="1" w:color="auto"/>
                <w:right w:val="single" w:sz="4" w:space="4" w:color="auto"/>
              </w:pBdr>
            </w:pPr>
            <w:r>
              <w:t xml:space="preserve">Ahpra and the National Boards can be notified of certain conduct through </w:t>
            </w:r>
            <w:r w:rsidR="00FD270A">
              <w:t xml:space="preserve">a </w:t>
            </w:r>
            <w:r>
              <w:t xml:space="preserve">notifications process, which may be investigated by a National Board in most States and Territories (alternative processes exist in Queensland and New South Wales). </w:t>
            </w:r>
          </w:p>
          <w:p w14:paraId="34F9FA9D" w14:textId="7907832F" w:rsidR="00687469" w:rsidRDefault="00687469" w:rsidP="007C36E4">
            <w:pPr>
              <w:pStyle w:val="mpcbullets1"/>
              <w:pBdr>
                <w:left w:val="single" w:sz="4" w:space="4" w:color="auto"/>
                <w:bottom w:val="single" w:sz="4" w:space="1" w:color="auto"/>
                <w:right w:val="single" w:sz="4" w:space="4" w:color="auto"/>
              </w:pBdr>
            </w:pPr>
            <w:r>
              <w:t>In response to a notification about a registered practitioner, a National Board can take a range of actions</w:t>
            </w:r>
            <w:r w:rsidR="00152714">
              <w:t xml:space="preserve"> including</w:t>
            </w:r>
            <w:r>
              <w:t xml:space="preserve"> cautioning the practitioner, imposing conditions on registration or referring the practitioner to a professional standards panel.</w:t>
            </w:r>
          </w:p>
          <w:p w14:paraId="75101C8B" w14:textId="77777777" w:rsidR="00687469" w:rsidRDefault="00687469" w:rsidP="007C36E4">
            <w:pPr>
              <w:pStyle w:val="mpcbullets1"/>
              <w:pBdr>
                <w:left w:val="single" w:sz="4" w:space="4" w:color="auto"/>
                <w:bottom w:val="single" w:sz="4" w:space="1" w:color="auto"/>
                <w:right w:val="single" w:sz="4" w:space="4" w:color="auto"/>
              </w:pBdr>
            </w:pPr>
            <w:r w:rsidRPr="00200A77">
              <w:t xml:space="preserve">A health practitioner can appeal certain regulatory decisions (e.g. to suspend or impose a condition on registration) and decisions made as a result of the notifications process. </w:t>
            </w:r>
          </w:p>
          <w:p w14:paraId="2AEF3E49" w14:textId="77777777" w:rsidR="00687469" w:rsidRDefault="00687469" w:rsidP="007C36E4">
            <w:pPr>
              <w:pStyle w:val="mpcbullets1"/>
              <w:pBdr>
                <w:left w:val="single" w:sz="4" w:space="4" w:color="auto"/>
                <w:bottom w:val="single" w:sz="4" w:space="1" w:color="auto"/>
                <w:right w:val="single" w:sz="4" w:space="4" w:color="auto"/>
              </w:pBdr>
            </w:pPr>
            <w:r>
              <w:t>There are Codes of Conduct and Codes of Ethics relevant to the various registered professions, which go to professional conduct of the practitioner. Alleged breaches are reviewed by the relevant National Board.</w:t>
            </w:r>
          </w:p>
          <w:p w14:paraId="75E7F760" w14:textId="3DDEE475" w:rsidR="001E5A41" w:rsidRPr="000F19F2" w:rsidRDefault="001E5A41" w:rsidP="007C36E4">
            <w:pPr>
              <w:pStyle w:val="mpcbullets1"/>
              <w:numPr>
                <w:ilvl w:val="0"/>
                <w:numId w:val="0"/>
              </w:numPr>
              <w:pBdr>
                <w:left w:val="single" w:sz="4" w:space="4" w:color="auto"/>
                <w:bottom w:val="single" w:sz="4" w:space="1" w:color="auto"/>
                <w:right w:val="single" w:sz="4" w:space="4" w:color="auto"/>
              </w:pBdr>
            </w:pPr>
          </w:p>
        </w:tc>
      </w:tr>
    </w:tbl>
    <w:p w14:paraId="621641A7" w14:textId="042C49C3" w:rsidR="001E5A41" w:rsidRDefault="001E5A41" w:rsidP="007C36E4">
      <w:pPr>
        <w:pStyle w:val="mpcbullets1"/>
        <w:numPr>
          <w:ilvl w:val="0"/>
          <w:numId w:val="0"/>
        </w:numPr>
      </w:pPr>
    </w:p>
    <w:p w14:paraId="32CECB44" w14:textId="0B04E32A" w:rsidR="006A14E3" w:rsidRDefault="006A14E3" w:rsidP="007C36E4">
      <w:pPr>
        <w:pStyle w:val="mpcbullets1"/>
        <w:numPr>
          <w:ilvl w:val="0"/>
          <w:numId w:val="0"/>
        </w:numPr>
      </w:pPr>
      <w:r>
        <w:t xml:space="preserve">When discussing codes of conduct as part of the consultation, stakeholders also referred to the National Code </w:t>
      </w:r>
      <w:r w:rsidR="008640D8">
        <w:t>of Conduct for Health Care Workers</w:t>
      </w:r>
      <w:r w:rsidR="004E21DB">
        <w:t xml:space="preserve"> (the National Code)</w:t>
      </w:r>
      <w:r w:rsidR="008640D8">
        <w:t xml:space="preserve">. The National Code is an example of </w:t>
      </w:r>
      <w:r w:rsidR="004E21DB">
        <w:t>a</w:t>
      </w:r>
      <w:r w:rsidR="008640D8">
        <w:t xml:space="preserve"> code of conduct that</w:t>
      </w:r>
      <w:r w:rsidR="004E21DB">
        <w:t xml:space="preserve"> operates in some State and Territories, and which </w:t>
      </w:r>
      <w:r w:rsidR="00CA623A">
        <w:t xml:space="preserve">can </w:t>
      </w:r>
      <w:r w:rsidR="004E21DB">
        <w:t xml:space="preserve">apply to </w:t>
      </w:r>
      <w:r w:rsidR="00BB24A0">
        <w:t xml:space="preserve">some </w:t>
      </w:r>
      <w:r w:rsidR="004E21DB">
        <w:t>aged care workers</w:t>
      </w:r>
      <w:r w:rsidR="008640D8">
        <w:t xml:space="preserve"> </w:t>
      </w:r>
      <w:r w:rsidR="004E21DB">
        <w:t>depending on the jurisdiction</w:t>
      </w:r>
      <w:r w:rsidR="008640D8">
        <w:t>.</w:t>
      </w:r>
      <w:r w:rsidR="004E21DB">
        <w:t xml:space="preserve"> </w:t>
      </w:r>
    </w:p>
    <w:p w14:paraId="61E85A4C" w14:textId="77777777" w:rsidR="006A14E3" w:rsidRDefault="006A14E3" w:rsidP="007C36E4">
      <w:pPr>
        <w:pStyle w:val="mpcbullets1"/>
        <w:numPr>
          <w:ilvl w:val="0"/>
          <w:numId w:val="0"/>
        </w:numPr>
      </w:pPr>
    </w:p>
    <w:tbl>
      <w:tblPr>
        <w:tblStyle w:val="TableGrid"/>
        <w:tblW w:w="0" w:type="auto"/>
        <w:tblLook w:val="04A0" w:firstRow="1" w:lastRow="0" w:firstColumn="1" w:lastColumn="0" w:noHBand="0" w:noVBand="1"/>
      </w:tblPr>
      <w:tblGrid>
        <w:gridCol w:w="9736"/>
      </w:tblGrid>
      <w:tr w:rsidR="006A14E3" w14:paraId="56C254DC" w14:textId="77777777" w:rsidTr="006A14E3">
        <w:tc>
          <w:tcPr>
            <w:tcW w:w="9736" w:type="dxa"/>
            <w:shd w:val="clear" w:color="auto" w:fill="E2EFD9" w:themeFill="accent6" w:themeFillTint="33"/>
          </w:tcPr>
          <w:p w14:paraId="783E68A4" w14:textId="01854434" w:rsidR="006A14E3" w:rsidRPr="00DE3739" w:rsidRDefault="006A14E3" w:rsidP="006A14E3">
            <w:pPr>
              <w:pStyle w:val="mpcNormal"/>
              <w:spacing w:after="0"/>
              <w:rPr>
                <w:b/>
                <w:bCs/>
              </w:rPr>
            </w:pPr>
            <w:r>
              <w:rPr>
                <w:b/>
                <w:bCs/>
              </w:rPr>
              <w:t>Case Study 3 – National Code of Conduct for Health Care Workers</w:t>
            </w:r>
          </w:p>
          <w:p w14:paraId="0D414AED" w14:textId="77777777" w:rsidR="006A14E3" w:rsidRDefault="006A14E3" w:rsidP="006A14E3">
            <w:pPr>
              <w:pStyle w:val="mpcNormal"/>
              <w:spacing w:after="0"/>
            </w:pPr>
          </w:p>
          <w:p w14:paraId="1CE41694" w14:textId="77777777" w:rsidR="006A14E3" w:rsidRDefault="006A14E3" w:rsidP="007133A5">
            <w:pPr>
              <w:pStyle w:val="mpcbullets1"/>
            </w:pPr>
            <w:r>
              <w:t xml:space="preserve">The National Code applies to </w:t>
            </w:r>
            <w:r w:rsidRPr="0019469C">
              <w:t>the provision of health services by health care workers who are</w:t>
            </w:r>
            <w:r>
              <w:t xml:space="preserve"> not required to be registered under the National Scheme (unregistered health workers) and those who are registered under the National Scheme but are providing health services unrelated to their profession. </w:t>
            </w:r>
          </w:p>
          <w:p w14:paraId="7542F33F" w14:textId="77777777" w:rsidR="006A14E3" w:rsidRDefault="006A14E3" w:rsidP="007133A5">
            <w:pPr>
              <w:pStyle w:val="mpcbullets1"/>
            </w:pPr>
            <w:r>
              <w:t xml:space="preserve">The National Code addresses over 40 matters across 17 topics including requirements in relation to: </w:t>
            </w:r>
          </w:p>
          <w:p w14:paraId="247A9CAB" w14:textId="77777777" w:rsidR="006A14E3" w:rsidRDefault="006A14E3" w:rsidP="00667D9F">
            <w:pPr>
              <w:pStyle w:val="mpcNormal"/>
              <w:numPr>
                <w:ilvl w:val="0"/>
                <w:numId w:val="15"/>
              </w:numPr>
              <w:spacing w:after="0"/>
            </w:pPr>
            <w:r w:rsidRPr="00EB677C">
              <w:t xml:space="preserve">safe and ethical </w:t>
            </w:r>
            <w:r>
              <w:t>service provision</w:t>
            </w:r>
          </w:p>
          <w:p w14:paraId="0ED90B70" w14:textId="77777777" w:rsidR="006A14E3" w:rsidRPr="00EB677C" w:rsidRDefault="006A14E3" w:rsidP="00667D9F">
            <w:pPr>
              <w:pStyle w:val="mpcNormal"/>
              <w:numPr>
                <w:ilvl w:val="0"/>
                <w:numId w:val="15"/>
              </w:numPr>
              <w:spacing w:after="0"/>
            </w:pPr>
            <w:r>
              <w:lastRenderedPageBreak/>
              <w:t>record keeping</w:t>
            </w:r>
            <w:r w:rsidRPr="00EB677C">
              <w:t xml:space="preserve"> and indemnity insurance</w:t>
            </w:r>
          </w:p>
          <w:p w14:paraId="37988DD2" w14:textId="77777777" w:rsidR="006A14E3" w:rsidRPr="00EB677C" w:rsidRDefault="006A14E3" w:rsidP="00667D9F">
            <w:pPr>
              <w:pStyle w:val="mpcNormal"/>
              <w:numPr>
                <w:ilvl w:val="0"/>
                <w:numId w:val="15"/>
              </w:numPr>
              <w:spacing w:after="0"/>
            </w:pPr>
            <w:r w:rsidRPr="00EB677C">
              <w:t>making claims to cure illnesses</w:t>
            </w:r>
          </w:p>
          <w:p w14:paraId="72858BBA" w14:textId="03929945" w:rsidR="006A14E3" w:rsidRPr="00EB677C" w:rsidRDefault="006A14E3" w:rsidP="00667D9F">
            <w:pPr>
              <w:pStyle w:val="mpcNormal"/>
              <w:numPr>
                <w:ilvl w:val="0"/>
                <w:numId w:val="15"/>
              </w:numPr>
              <w:spacing w:after="0"/>
            </w:pPr>
            <w:r w:rsidRPr="00EB677C">
              <w:t xml:space="preserve">action </w:t>
            </w:r>
            <w:r>
              <w:t xml:space="preserve">to be taken </w:t>
            </w:r>
            <w:r w:rsidRPr="00EB677C">
              <w:t>in relation to adverse events</w:t>
            </w:r>
            <w:r w:rsidR="00CA623A">
              <w:t>.</w:t>
            </w:r>
          </w:p>
          <w:p w14:paraId="084E41A1" w14:textId="0046C6E0" w:rsidR="006A14E3" w:rsidRPr="007133A5" w:rsidRDefault="006A14E3" w:rsidP="007133A5">
            <w:pPr>
              <w:pStyle w:val="mpcbullets1"/>
            </w:pPr>
            <w:r>
              <w:t>Laws in individual States and Territories enable enforcement of the National Code through investigation of breaches and the issu</w:t>
            </w:r>
            <w:r w:rsidR="00FD270A">
              <w:t>ing</w:t>
            </w:r>
            <w:r>
              <w:t xml:space="preserve"> of prohibition </w:t>
            </w:r>
            <w:r w:rsidRPr="007133A5">
              <w:t xml:space="preserve">orders (prohibition orders are designed to be mutually recognised across States and Territories). Each State and Territory determines the body responsible for applying the </w:t>
            </w:r>
            <w:r>
              <w:t xml:space="preserve">National Code </w:t>
            </w:r>
            <w:r w:rsidRPr="007133A5">
              <w:t xml:space="preserve">within that jurisdiction. </w:t>
            </w:r>
          </w:p>
          <w:p w14:paraId="194FB991" w14:textId="12152A5F" w:rsidR="006A14E3" w:rsidRPr="007133A5" w:rsidRDefault="006A14E3" w:rsidP="007133A5">
            <w:pPr>
              <w:pStyle w:val="mpcbullets1"/>
            </w:pPr>
            <w:r w:rsidRPr="00580A19">
              <w:t xml:space="preserve">Code-based regulation occurs </w:t>
            </w:r>
            <w:r w:rsidR="00B574BA">
              <w:t>in</w:t>
            </w:r>
            <w:r w:rsidRPr="00580A19">
              <w:t xml:space="preserve"> New South Wales, South Australia, Victoria and Queensland</w:t>
            </w:r>
            <w:r>
              <w:t xml:space="preserve">, but has not </w:t>
            </w:r>
            <w:r w:rsidRPr="007133A5">
              <w:t xml:space="preserve">yet been adopted in all State and </w:t>
            </w:r>
            <w:r w:rsidRPr="00F5274E">
              <w:t xml:space="preserve">Territories. There is </w:t>
            </w:r>
            <w:r w:rsidR="00F5274E" w:rsidRPr="00F5274E">
              <w:t xml:space="preserve">no national consistency </w:t>
            </w:r>
            <w:r w:rsidR="006A2F35">
              <w:t>in relation to</w:t>
            </w:r>
            <w:r w:rsidR="00F5274E" w:rsidRPr="00F5274E">
              <w:t xml:space="preserve"> which</w:t>
            </w:r>
            <w:r w:rsidRPr="00F5274E">
              <w:t xml:space="preserve"> aged care workers are captured as ‘health care workers’.</w:t>
            </w:r>
          </w:p>
          <w:p w14:paraId="246BCDC9" w14:textId="2EFF759C" w:rsidR="006A14E3" w:rsidRPr="006A14E3" w:rsidRDefault="006A14E3" w:rsidP="006A14E3">
            <w:pPr>
              <w:pStyle w:val="mpcNormal"/>
              <w:spacing w:after="0"/>
              <w:ind w:left="360"/>
              <w:rPr>
                <w:color w:val="000000" w:themeColor="text1"/>
              </w:rPr>
            </w:pPr>
          </w:p>
        </w:tc>
      </w:tr>
    </w:tbl>
    <w:p w14:paraId="64EF217F" w14:textId="3496AF29" w:rsidR="00D37FF9" w:rsidRDefault="008014EA" w:rsidP="007C36E4">
      <w:pPr>
        <w:pStyle w:val="mpcbullets1"/>
        <w:numPr>
          <w:ilvl w:val="0"/>
          <w:numId w:val="0"/>
        </w:numPr>
      </w:pPr>
      <w:r>
        <w:lastRenderedPageBreak/>
        <w:br w:type="page"/>
      </w:r>
    </w:p>
    <w:p w14:paraId="2B86C7BB" w14:textId="107F47D2" w:rsidR="0031202B" w:rsidRDefault="005B1BEB" w:rsidP="007C36E4">
      <w:pPr>
        <w:pStyle w:val="mpcheading1"/>
      </w:pPr>
      <w:bookmarkStart w:id="27" w:name="_Toc45868445"/>
      <w:bookmarkStart w:id="28" w:name="_Toc49253238"/>
      <w:r>
        <w:lastRenderedPageBreak/>
        <w:t xml:space="preserve">Chapter </w:t>
      </w:r>
      <w:r w:rsidR="002C46F4">
        <w:t>4</w:t>
      </w:r>
      <w:r>
        <w:t xml:space="preserve"> – </w:t>
      </w:r>
      <w:r w:rsidR="009D6693">
        <w:t>Worker screening</w:t>
      </w:r>
      <w:r w:rsidR="009D15AC">
        <w:t xml:space="preserve"> scheme</w:t>
      </w:r>
      <w:bookmarkEnd w:id="27"/>
      <w:bookmarkEnd w:id="28"/>
      <w:r w:rsidR="009D6693">
        <w:t xml:space="preserve"> </w:t>
      </w:r>
      <w:r w:rsidR="0031202B">
        <w:t xml:space="preserve"> </w:t>
      </w:r>
    </w:p>
    <w:p w14:paraId="6D31A865" w14:textId="5F62FC17" w:rsidR="008F5ADF" w:rsidRPr="002B0046" w:rsidRDefault="008F5ADF" w:rsidP="007C36E4">
      <w:pPr>
        <w:pStyle w:val="mpcbullets1"/>
        <w:numPr>
          <w:ilvl w:val="0"/>
          <w:numId w:val="0"/>
        </w:numPr>
        <w:rPr>
          <w:rFonts w:cstheme="minorHAnsi"/>
        </w:rPr>
      </w:pPr>
      <w:r w:rsidRPr="002B0046">
        <w:rPr>
          <w:rFonts w:cstheme="minorHAnsi"/>
        </w:rPr>
        <w:t>Feedback from stakeholders reflected a strong desire to expand worker screening in relation to:</w:t>
      </w:r>
    </w:p>
    <w:p w14:paraId="2516140B" w14:textId="77777777" w:rsidR="008F5ADF" w:rsidRPr="002B0046" w:rsidRDefault="008F5ADF" w:rsidP="007C36E4">
      <w:pPr>
        <w:pStyle w:val="mpcbullets1"/>
        <w:numPr>
          <w:ilvl w:val="0"/>
          <w:numId w:val="0"/>
        </w:numPr>
        <w:rPr>
          <w:rFonts w:cstheme="minorHAnsi"/>
        </w:rPr>
      </w:pPr>
    </w:p>
    <w:p w14:paraId="5B0BAC75" w14:textId="77777777" w:rsidR="008F5ADF" w:rsidRPr="002B0046" w:rsidRDefault="008F5ADF" w:rsidP="007C36E4">
      <w:pPr>
        <w:pStyle w:val="mpcbullets1"/>
        <w:rPr>
          <w:rFonts w:cstheme="minorHAnsi"/>
        </w:rPr>
      </w:pPr>
      <w:r w:rsidRPr="002B0046">
        <w:rPr>
          <w:rFonts w:cstheme="minorHAnsi"/>
        </w:rPr>
        <w:t>the types of matters (criminal offences) that may exclude a worker from the aged care sector</w:t>
      </w:r>
    </w:p>
    <w:p w14:paraId="69E3E2C3" w14:textId="77777777" w:rsidR="008F5ADF" w:rsidRPr="002B0046" w:rsidRDefault="008F5ADF" w:rsidP="007C36E4">
      <w:pPr>
        <w:pStyle w:val="mpcbullets1"/>
        <w:rPr>
          <w:rFonts w:cstheme="minorHAnsi"/>
        </w:rPr>
      </w:pPr>
      <w:r w:rsidRPr="002B0046">
        <w:rPr>
          <w:rFonts w:cstheme="minorHAnsi"/>
        </w:rPr>
        <w:t xml:space="preserve">the scope of information relevant to the assessment (beyond a person’s criminal history) </w:t>
      </w:r>
    </w:p>
    <w:p w14:paraId="667F4002" w14:textId="77777777" w:rsidR="008F5ADF" w:rsidRPr="002B0046" w:rsidRDefault="008F5ADF" w:rsidP="007C36E4">
      <w:pPr>
        <w:pStyle w:val="mpcbullets1"/>
        <w:rPr>
          <w:rFonts w:cstheme="minorHAnsi"/>
        </w:rPr>
      </w:pPr>
      <w:r w:rsidRPr="002B0046">
        <w:rPr>
          <w:rFonts w:cstheme="minorHAnsi"/>
        </w:rPr>
        <w:t xml:space="preserve">the manner in which assessment occurs (i.e. who undertakes the assessment and whether it is centralised). </w:t>
      </w:r>
    </w:p>
    <w:p w14:paraId="3AC77F84" w14:textId="77777777" w:rsidR="008F5ADF" w:rsidRPr="002B0046" w:rsidRDefault="008F5ADF" w:rsidP="007C36E4">
      <w:pPr>
        <w:pStyle w:val="mpcbullets1"/>
        <w:numPr>
          <w:ilvl w:val="0"/>
          <w:numId w:val="0"/>
        </w:numPr>
        <w:ind w:left="360"/>
        <w:rPr>
          <w:rFonts w:cstheme="minorHAnsi"/>
        </w:rPr>
      </w:pPr>
    </w:p>
    <w:p w14:paraId="1273CF49" w14:textId="51073057" w:rsidR="008F5ADF" w:rsidRDefault="008F5ADF" w:rsidP="007C36E4">
      <w:pPr>
        <w:pStyle w:val="mpcbullets1"/>
        <w:numPr>
          <w:ilvl w:val="0"/>
          <w:numId w:val="0"/>
        </w:numPr>
        <w:rPr>
          <w:rFonts w:cstheme="minorHAnsi"/>
        </w:rPr>
      </w:pPr>
      <w:r w:rsidRPr="002B0046">
        <w:rPr>
          <w:rFonts w:cstheme="minorHAnsi"/>
        </w:rPr>
        <w:t>Stakeholders favoured an approach to worker screening whereby aged care workers (as described below) would be expected to submit to a screening process and be ineligible to work in the sector unless cleared</w:t>
      </w:r>
      <w:r w:rsidR="00D86E18">
        <w:rPr>
          <w:rFonts w:cstheme="minorHAnsi"/>
        </w:rPr>
        <w:t xml:space="preserve"> (noting that if a worker has been screened or excluded as part of another regulatory scheme (such as the NDIS) this should be recognised)</w:t>
      </w:r>
      <w:r w:rsidRPr="002B0046">
        <w:rPr>
          <w:rFonts w:cstheme="minorHAnsi"/>
        </w:rPr>
        <w:t xml:space="preserve">. </w:t>
      </w:r>
    </w:p>
    <w:p w14:paraId="7FE3DF4F" w14:textId="77777777" w:rsidR="008F5ADF" w:rsidRDefault="008F5ADF" w:rsidP="007C36E4">
      <w:pPr>
        <w:pStyle w:val="mpcbullets1"/>
        <w:numPr>
          <w:ilvl w:val="0"/>
          <w:numId w:val="0"/>
        </w:numPr>
        <w:rPr>
          <w:rFonts w:cstheme="minorHAnsi"/>
        </w:rPr>
      </w:pPr>
    </w:p>
    <w:p w14:paraId="3D1519C6" w14:textId="7FA6F9BF" w:rsidR="00C56705" w:rsidRDefault="008F5ADF" w:rsidP="007C36E4">
      <w:pPr>
        <w:pStyle w:val="mpcbullets1"/>
        <w:numPr>
          <w:ilvl w:val="0"/>
          <w:numId w:val="0"/>
        </w:numPr>
        <w:rPr>
          <w:rFonts w:cstheme="minorHAnsi"/>
        </w:rPr>
      </w:pPr>
      <w:r>
        <w:rPr>
          <w:rFonts w:cstheme="minorHAnsi"/>
        </w:rPr>
        <w:t>The majority of s</w:t>
      </w:r>
      <w:r w:rsidRPr="002B0046">
        <w:rPr>
          <w:rFonts w:cstheme="minorHAnsi"/>
        </w:rPr>
        <w:t xml:space="preserve">takeholders </w:t>
      </w:r>
      <w:r w:rsidR="00C56705">
        <w:rPr>
          <w:rFonts w:cstheme="minorHAnsi"/>
        </w:rPr>
        <w:t>supported:</w:t>
      </w:r>
    </w:p>
    <w:p w14:paraId="43C80DD8" w14:textId="77777777" w:rsidR="00C56705" w:rsidRDefault="00C56705" w:rsidP="007C36E4">
      <w:pPr>
        <w:pStyle w:val="mpcbullets1"/>
        <w:numPr>
          <w:ilvl w:val="0"/>
          <w:numId w:val="0"/>
        </w:numPr>
        <w:rPr>
          <w:rFonts w:cstheme="minorHAnsi"/>
        </w:rPr>
      </w:pPr>
    </w:p>
    <w:p w14:paraId="301A7919" w14:textId="77777777" w:rsidR="00C56705" w:rsidRDefault="00C56705" w:rsidP="00C56705">
      <w:pPr>
        <w:pStyle w:val="mpcbullets1"/>
        <w:rPr>
          <w:rFonts w:cstheme="minorHAnsi"/>
        </w:rPr>
      </w:pPr>
      <w:r>
        <w:rPr>
          <w:rFonts w:cstheme="minorHAnsi"/>
        </w:rPr>
        <w:t>s</w:t>
      </w:r>
      <w:r w:rsidR="008F5ADF" w:rsidRPr="002B0046">
        <w:rPr>
          <w:rFonts w:cstheme="minorHAnsi"/>
        </w:rPr>
        <w:t xml:space="preserve">creening to include a wider range of criminal matters in assessing suitability to work in the sector </w:t>
      </w:r>
    </w:p>
    <w:p w14:paraId="3803FD17" w14:textId="500AD825" w:rsidR="00C56705" w:rsidRPr="00C56705" w:rsidRDefault="00C56705" w:rsidP="00C56705">
      <w:pPr>
        <w:pStyle w:val="mpcbullets1"/>
        <w:rPr>
          <w:rFonts w:cstheme="minorHAnsi"/>
        </w:rPr>
      </w:pPr>
      <w:r>
        <w:rPr>
          <w:rFonts w:cstheme="minorHAnsi"/>
        </w:rPr>
        <w:t>a</w:t>
      </w:r>
      <w:r w:rsidR="008F5ADF" w:rsidRPr="002B0046">
        <w:rPr>
          <w:rFonts w:cstheme="minorHAnsi"/>
        </w:rPr>
        <w:t xml:space="preserve"> similar (if not identical) tiered system of assessment </w:t>
      </w:r>
      <w:r w:rsidR="008F5ADF">
        <w:rPr>
          <w:rFonts w:cstheme="minorHAnsi"/>
        </w:rPr>
        <w:t xml:space="preserve">to that in </w:t>
      </w:r>
      <w:r w:rsidR="008F5ADF" w:rsidRPr="002B0046">
        <w:rPr>
          <w:rFonts w:cstheme="minorHAnsi"/>
        </w:rPr>
        <w:t xml:space="preserve">the NDIS model. </w:t>
      </w:r>
      <w:r w:rsidR="0088220A" w:rsidRPr="00D02985">
        <w:rPr>
          <w:rFonts w:cstheme="minorHAnsi"/>
        </w:rPr>
        <w:t>On the whole, stakeholders favoured the inclusion of a broad range of information</w:t>
      </w:r>
      <w:r w:rsidR="0088220A">
        <w:rPr>
          <w:rFonts w:cstheme="minorHAnsi"/>
        </w:rPr>
        <w:t xml:space="preserve"> </w:t>
      </w:r>
      <w:r w:rsidR="0088220A" w:rsidRPr="00D02985">
        <w:rPr>
          <w:rFonts w:cstheme="minorHAnsi"/>
        </w:rPr>
        <w:t xml:space="preserve">in the </w:t>
      </w:r>
      <w:r w:rsidR="0088220A">
        <w:rPr>
          <w:rFonts w:cstheme="minorHAnsi"/>
        </w:rPr>
        <w:t xml:space="preserve">risk and suitability </w:t>
      </w:r>
      <w:r w:rsidR="0088220A" w:rsidRPr="00C56705">
        <w:rPr>
          <w:rFonts w:cstheme="minorHAnsi"/>
        </w:rPr>
        <w:t>assessment, noting that in order to improve consumer protection, it was necessary for worker screening to consider several sources of information</w:t>
      </w:r>
    </w:p>
    <w:p w14:paraId="4EBD0179" w14:textId="44F9B25A" w:rsidR="00C56705" w:rsidRDefault="008F5ADF" w:rsidP="00C56705">
      <w:pPr>
        <w:pStyle w:val="mpcbullets1"/>
        <w:rPr>
          <w:rFonts w:cstheme="minorHAnsi"/>
        </w:rPr>
      </w:pPr>
      <w:r w:rsidRPr="00C56705">
        <w:rPr>
          <w:rFonts w:cstheme="minorHAnsi"/>
        </w:rPr>
        <w:t xml:space="preserve">the implementation of a code of conduct </w:t>
      </w:r>
      <w:r w:rsidR="00CF6971">
        <w:rPr>
          <w:rFonts w:cstheme="minorHAnsi"/>
        </w:rPr>
        <w:t>(where breaches of the code could be taken into account in the worker risk assessment)</w:t>
      </w:r>
      <w:r w:rsidRPr="00C56705">
        <w:rPr>
          <w:rFonts w:cstheme="minorHAnsi"/>
        </w:rPr>
        <w:t xml:space="preserve">. Most stakeholders felt that </w:t>
      </w:r>
      <w:r w:rsidR="00C56705" w:rsidRPr="00C56705">
        <w:rPr>
          <w:rFonts w:cstheme="minorHAnsi"/>
        </w:rPr>
        <w:t xml:space="preserve">while an </w:t>
      </w:r>
      <w:r w:rsidRPr="00C56705">
        <w:rPr>
          <w:rFonts w:cstheme="minorHAnsi"/>
        </w:rPr>
        <w:t xml:space="preserve">aged care </w:t>
      </w:r>
      <w:r w:rsidR="00C56705" w:rsidRPr="00C56705">
        <w:rPr>
          <w:rFonts w:cstheme="minorHAnsi"/>
        </w:rPr>
        <w:t xml:space="preserve">specific </w:t>
      </w:r>
      <w:r w:rsidRPr="00C56705">
        <w:rPr>
          <w:rFonts w:cstheme="minorHAnsi"/>
        </w:rPr>
        <w:t xml:space="preserve">code of conduct </w:t>
      </w:r>
      <w:r w:rsidR="00C56705" w:rsidRPr="00C56705">
        <w:rPr>
          <w:rFonts w:cstheme="minorHAnsi"/>
        </w:rPr>
        <w:t>was desirable, it should align (in scope, style and sub</w:t>
      </w:r>
      <w:r w:rsidR="00C56705">
        <w:rPr>
          <w:rFonts w:cstheme="minorHAnsi"/>
        </w:rPr>
        <w:t xml:space="preserve">stance) </w:t>
      </w:r>
      <w:r w:rsidR="00C56705" w:rsidRPr="00C56705">
        <w:rPr>
          <w:rFonts w:cstheme="minorHAnsi"/>
        </w:rPr>
        <w:t xml:space="preserve">with </w:t>
      </w:r>
      <w:r w:rsidRPr="00C56705">
        <w:rPr>
          <w:rFonts w:cstheme="minorHAnsi"/>
        </w:rPr>
        <w:t>the NDIS Code</w:t>
      </w:r>
    </w:p>
    <w:p w14:paraId="06FCBCBC" w14:textId="65D4C764" w:rsidR="00C56705" w:rsidRDefault="008F5ADF" w:rsidP="00C56705">
      <w:pPr>
        <w:pStyle w:val="mpcbullets1"/>
        <w:rPr>
          <w:rFonts w:cstheme="minorHAnsi"/>
        </w:rPr>
      </w:pPr>
      <w:r w:rsidRPr="00C56705">
        <w:rPr>
          <w:rFonts w:cstheme="minorHAnsi"/>
        </w:rPr>
        <w:t xml:space="preserve">consolidating the outcomes of the screening assessment through a national oversight body </w:t>
      </w:r>
      <w:r w:rsidR="00C56705">
        <w:rPr>
          <w:rFonts w:cstheme="minorHAnsi"/>
        </w:rPr>
        <w:t xml:space="preserve"> </w:t>
      </w:r>
    </w:p>
    <w:p w14:paraId="61421DA2" w14:textId="13D79D61" w:rsidR="00C56705" w:rsidRPr="00C56705" w:rsidRDefault="00C56705" w:rsidP="00C56705">
      <w:pPr>
        <w:pStyle w:val="mpcbullets2"/>
      </w:pPr>
      <w:r w:rsidRPr="002B0046">
        <w:t xml:space="preserve">While stakeholders had </w:t>
      </w:r>
      <w:r>
        <w:t>differing</w:t>
      </w:r>
      <w:r w:rsidRPr="002B0046">
        <w:t xml:space="preserve"> views about who should conduct the screening and be the responsible oversight body, there was consensus that only one body (rather than multiple bodies) should be tasked with managing worker regulation</w:t>
      </w:r>
      <w:r>
        <w:t xml:space="preserve"> (i.e</w:t>
      </w:r>
      <w:r w:rsidRPr="008F5ADF">
        <w:t>. which could include both screening as discussed in this chapter and registration as discussed in Chapter 5).</w:t>
      </w:r>
      <w:r w:rsidRPr="002B0046">
        <w:t xml:space="preserve"> </w:t>
      </w:r>
    </w:p>
    <w:p w14:paraId="3FF22896" w14:textId="0239E0FC" w:rsidR="008F5ADF" w:rsidRPr="00C56705" w:rsidRDefault="008F5ADF" w:rsidP="00C56705">
      <w:pPr>
        <w:pStyle w:val="mpcbullets1"/>
        <w:rPr>
          <w:rFonts w:cstheme="minorHAnsi"/>
        </w:rPr>
      </w:pPr>
      <w:r w:rsidRPr="00C56705">
        <w:rPr>
          <w:rFonts w:cstheme="minorHAnsi"/>
        </w:rPr>
        <w:t xml:space="preserve">a positive and negative register, to not only collate cleared workers but also identify workers that had either been excluded through initial screening or as a consequence of re-assessment for their conduct during employment in the sector. </w:t>
      </w:r>
    </w:p>
    <w:p w14:paraId="480BD6B6" w14:textId="77777777" w:rsidR="008F5ADF" w:rsidRPr="002B0046" w:rsidRDefault="008F5ADF" w:rsidP="007C36E4">
      <w:pPr>
        <w:pStyle w:val="mpcbullets1"/>
        <w:numPr>
          <w:ilvl w:val="0"/>
          <w:numId w:val="0"/>
        </w:numPr>
        <w:rPr>
          <w:rFonts w:cstheme="minorHAnsi"/>
        </w:rPr>
      </w:pPr>
    </w:p>
    <w:p w14:paraId="0331E0A2" w14:textId="56563C14" w:rsidR="00C56705" w:rsidRDefault="00C56705" w:rsidP="00C56705">
      <w:pPr>
        <w:pStyle w:val="mpcbullets1"/>
        <w:numPr>
          <w:ilvl w:val="0"/>
          <w:numId w:val="0"/>
        </w:numPr>
        <w:rPr>
          <w:rFonts w:cstheme="minorHAnsi"/>
        </w:rPr>
      </w:pPr>
      <w:r>
        <w:rPr>
          <w:rFonts w:cstheme="minorHAnsi"/>
        </w:rPr>
        <w:t xml:space="preserve">The above features were generally </w:t>
      </w:r>
      <w:r w:rsidRPr="00C56705">
        <w:rPr>
          <w:rFonts w:cstheme="minorHAnsi"/>
        </w:rPr>
        <w:t xml:space="preserve">seen as a key mechanism for meeting the objectives in relation to protecting against unsuitable workers entering or remaining in the sector. </w:t>
      </w:r>
    </w:p>
    <w:p w14:paraId="669946CF" w14:textId="77777777" w:rsidR="008F5ADF" w:rsidRPr="002B0046" w:rsidRDefault="008F5ADF" w:rsidP="007C36E4">
      <w:pPr>
        <w:pStyle w:val="mpcbullets1"/>
        <w:numPr>
          <w:ilvl w:val="0"/>
          <w:numId w:val="0"/>
        </w:numPr>
        <w:rPr>
          <w:rFonts w:cstheme="minorHAnsi"/>
        </w:rPr>
      </w:pPr>
    </w:p>
    <w:p w14:paraId="213E720E" w14:textId="77777777" w:rsidR="008F5ADF" w:rsidRPr="002B0046" w:rsidRDefault="008F5ADF" w:rsidP="007C36E4">
      <w:pPr>
        <w:pStyle w:val="mpcbullets1"/>
        <w:numPr>
          <w:ilvl w:val="0"/>
          <w:numId w:val="0"/>
        </w:numPr>
        <w:rPr>
          <w:rFonts w:cstheme="minorHAnsi"/>
        </w:rPr>
      </w:pPr>
      <w:r w:rsidRPr="002B0046">
        <w:rPr>
          <w:rFonts w:cstheme="minorHAnsi"/>
        </w:rPr>
        <w:t>Stakeholders were keen to draw on existing infrastructure and models to implement the strengthened worker screening process for aged care but understood there are</w:t>
      </w:r>
      <w:r>
        <w:rPr>
          <w:rFonts w:cstheme="minorHAnsi"/>
        </w:rPr>
        <w:t xml:space="preserve"> a range of</w:t>
      </w:r>
      <w:r w:rsidRPr="002B0046">
        <w:rPr>
          <w:rFonts w:cstheme="minorHAnsi"/>
        </w:rPr>
        <w:t xml:space="preserve"> implementation questions to be </w:t>
      </w:r>
      <w:r>
        <w:rPr>
          <w:rFonts w:cstheme="minorHAnsi"/>
        </w:rPr>
        <w:t>explored in the next stage of this project</w:t>
      </w:r>
      <w:r w:rsidRPr="002B0046">
        <w:rPr>
          <w:rFonts w:cstheme="minorHAnsi"/>
        </w:rPr>
        <w:t xml:space="preserve">. </w:t>
      </w:r>
    </w:p>
    <w:p w14:paraId="7DF308E5" w14:textId="4B1D2895" w:rsidR="00984F11" w:rsidRDefault="00984F11" w:rsidP="007C36E4">
      <w:pPr>
        <w:pStyle w:val="mpcbullets1"/>
        <w:numPr>
          <w:ilvl w:val="0"/>
          <w:numId w:val="0"/>
        </w:numPr>
      </w:pPr>
      <w:r>
        <w:br w:type="page"/>
      </w:r>
    </w:p>
    <w:p w14:paraId="38AABD76" w14:textId="77777777" w:rsidR="00D37FF9" w:rsidRDefault="00D37FF9" w:rsidP="007C36E4">
      <w:pPr>
        <w:pStyle w:val="mpcbullets1"/>
        <w:numPr>
          <w:ilvl w:val="0"/>
          <w:numId w:val="0"/>
        </w:numPr>
      </w:pPr>
    </w:p>
    <w:p w14:paraId="32C4A455" w14:textId="77777777" w:rsidR="00511E5B" w:rsidRPr="00DA3B37" w:rsidRDefault="00511E5B" w:rsidP="007C36E4">
      <w:pPr>
        <w:pStyle w:val="mpcheading2"/>
        <w:keepNext/>
        <w:spacing w:after="0"/>
      </w:pPr>
      <w:bookmarkStart w:id="29" w:name="_Toc45868446"/>
      <w:bookmarkStart w:id="30" w:name="_Toc49253239"/>
      <w:r w:rsidRPr="0079650B">
        <w:t xml:space="preserve">Who </w:t>
      </w:r>
      <w:r>
        <w:t>should be</w:t>
      </w:r>
      <w:r w:rsidRPr="0079650B">
        <w:t xml:space="preserve"> assessed</w:t>
      </w:r>
      <w:r>
        <w:t>?</w:t>
      </w:r>
      <w:bookmarkEnd w:id="29"/>
      <w:bookmarkEnd w:id="30"/>
      <w:r w:rsidRPr="0079650B">
        <w:t xml:space="preserve"> </w:t>
      </w:r>
    </w:p>
    <w:p w14:paraId="3CE11417" w14:textId="77777777" w:rsidR="00511E5B" w:rsidRPr="002851A2" w:rsidRDefault="00511E5B" w:rsidP="007C36E4">
      <w:pPr>
        <w:pStyle w:val="mpcbullets1"/>
        <w:keepNext/>
        <w:numPr>
          <w:ilvl w:val="0"/>
          <w:numId w:val="0"/>
        </w:numPr>
        <w:rPr>
          <w:rFonts w:cstheme="minorHAnsi"/>
        </w:rPr>
      </w:pPr>
    </w:p>
    <w:p w14:paraId="21CC8D93" w14:textId="6ABAC309" w:rsidR="00511E5B" w:rsidRPr="002851A2" w:rsidRDefault="00511E5B" w:rsidP="007C36E4">
      <w:pPr>
        <w:pStyle w:val="mpcbullets1"/>
        <w:keepNext/>
        <w:numPr>
          <w:ilvl w:val="0"/>
          <w:numId w:val="0"/>
        </w:numPr>
        <w:rPr>
          <w:rFonts w:cstheme="minorHAnsi"/>
        </w:rPr>
      </w:pPr>
      <w:r w:rsidRPr="002851A2">
        <w:rPr>
          <w:rFonts w:cstheme="minorHAnsi"/>
        </w:rPr>
        <w:t xml:space="preserve">Stakeholders expressed a strong preference for a model in which aged care </w:t>
      </w:r>
      <w:r w:rsidR="00AD61B4">
        <w:rPr>
          <w:rFonts w:cstheme="minorHAnsi"/>
        </w:rPr>
        <w:t>workers (</w:t>
      </w:r>
      <w:r w:rsidR="0056109E">
        <w:rPr>
          <w:rFonts w:cstheme="minorHAnsi"/>
        </w:rPr>
        <w:t>by reference to</w:t>
      </w:r>
      <w:r w:rsidR="00AD61B4">
        <w:rPr>
          <w:rFonts w:cstheme="minorHAnsi"/>
        </w:rPr>
        <w:t xml:space="preserve"> the definition of </w:t>
      </w:r>
      <w:r w:rsidR="003D5941">
        <w:rPr>
          <w:rFonts w:cstheme="minorHAnsi"/>
        </w:rPr>
        <w:t>‘</w:t>
      </w:r>
      <w:r w:rsidRPr="002851A2">
        <w:rPr>
          <w:rFonts w:cstheme="minorHAnsi"/>
        </w:rPr>
        <w:t>staff member</w:t>
      </w:r>
      <w:r w:rsidR="003D5941">
        <w:rPr>
          <w:rFonts w:cstheme="minorHAnsi"/>
        </w:rPr>
        <w:t>’</w:t>
      </w:r>
      <w:r w:rsidR="00AD61B4">
        <w:rPr>
          <w:rFonts w:cstheme="minorHAnsi"/>
        </w:rPr>
        <w:t xml:space="preserve"> below)</w:t>
      </w:r>
      <w:r w:rsidRPr="002851A2">
        <w:rPr>
          <w:rFonts w:cstheme="minorHAnsi"/>
        </w:rPr>
        <w:t xml:space="preserve"> would be subject to strengthened worker screening requirements. Some also sought to have volunteers subject to the same screening, noting that </w:t>
      </w:r>
      <w:r w:rsidR="003D5941">
        <w:rPr>
          <w:rFonts w:cstheme="minorHAnsi"/>
        </w:rPr>
        <w:t xml:space="preserve">under the current arrangements, </w:t>
      </w:r>
      <w:r w:rsidRPr="002851A2">
        <w:rPr>
          <w:rFonts w:cstheme="minorHAnsi"/>
        </w:rPr>
        <w:t>volunteers are required to have the same level of criminal history check as staff members.</w:t>
      </w:r>
    </w:p>
    <w:p w14:paraId="3F60045D" w14:textId="77777777" w:rsidR="00511E5B" w:rsidRPr="00C55A21" w:rsidRDefault="00511E5B" w:rsidP="007C36E4">
      <w:pPr>
        <w:pStyle w:val="mpcbullets1"/>
        <w:numPr>
          <w:ilvl w:val="0"/>
          <w:numId w:val="0"/>
        </w:numPr>
        <w:rPr>
          <w:rFonts w:cstheme="minorHAnsi"/>
        </w:rPr>
      </w:pPr>
    </w:p>
    <w:p w14:paraId="619433F5" w14:textId="12F1071B" w:rsidR="00511E5B" w:rsidRPr="00C55A21" w:rsidRDefault="00511E5B" w:rsidP="007C36E4">
      <w:pPr>
        <w:pStyle w:val="mpcNormal"/>
        <w:spacing w:after="0"/>
        <w:rPr>
          <w:rFonts w:cstheme="minorHAnsi"/>
        </w:rPr>
      </w:pPr>
      <w:r w:rsidRPr="00C55A21">
        <w:rPr>
          <w:rFonts w:cstheme="minorHAnsi"/>
        </w:rPr>
        <w:t xml:space="preserve">The aged care legislation currently defines ‘staff member’ for the purposes of police certificate requirements as someone who: </w:t>
      </w:r>
    </w:p>
    <w:p w14:paraId="0D9A257C" w14:textId="77777777" w:rsidR="00511E5B" w:rsidRPr="00C55A21" w:rsidRDefault="00511E5B" w:rsidP="007C36E4">
      <w:pPr>
        <w:pStyle w:val="mpcNormal"/>
        <w:spacing w:after="0"/>
        <w:rPr>
          <w:rFonts w:cstheme="minorHAnsi"/>
        </w:rPr>
      </w:pPr>
    </w:p>
    <w:p w14:paraId="6D9CB39A" w14:textId="77777777" w:rsidR="00511E5B" w:rsidRPr="00C55A21" w:rsidRDefault="00511E5B" w:rsidP="007C36E4">
      <w:pPr>
        <w:pStyle w:val="mpcbullets1"/>
        <w:rPr>
          <w:rFonts w:cstheme="minorHAnsi"/>
        </w:rPr>
      </w:pPr>
      <w:r w:rsidRPr="00C55A21">
        <w:rPr>
          <w:rFonts w:cstheme="minorHAnsi"/>
        </w:rPr>
        <w:t>is at least 16 years old</w:t>
      </w:r>
    </w:p>
    <w:p w14:paraId="2FA30592" w14:textId="77777777" w:rsidR="00511E5B" w:rsidRPr="00C55A21" w:rsidRDefault="00511E5B" w:rsidP="007C36E4">
      <w:pPr>
        <w:pStyle w:val="mpcbullets1"/>
        <w:rPr>
          <w:rFonts w:cstheme="minorHAnsi"/>
        </w:rPr>
      </w:pPr>
      <w:r w:rsidRPr="00C55A21">
        <w:rPr>
          <w:rFonts w:cstheme="minorHAnsi"/>
        </w:rPr>
        <w:t>is employed, hired, retained or contracted by the approved provider (whether directly or through an employment or recruiting agency) to provide care or other services</w:t>
      </w:r>
    </w:p>
    <w:p w14:paraId="1C1977CD" w14:textId="77777777" w:rsidR="00511E5B" w:rsidRPr="00C55A21" w:rsidRDefault="00511E5B" w:rsidP="007C36E4">
      <w:pPr>
        <w:pStyle w:val="mpcbullets1"/>
        <w:rPr>
          <w:rFonts w:cstheme="minorHAnsi"/>
        </w:rPr>
      </w:pPr>
      <w:r w:rsidRPr="00C55A21">
        <w:rPr>
          <w:rFonts w:cstheme="minorHAnsi"/>
        </w:rPr>
        <w:t>has, or is reasonably likely to have, access to consumers.</w:t>
      </w:r>
      <w:r w:rsidRPr="00C55A21">
        <w:rPr>
          <w:rStyle w:val="FootnoteReference"/>
          <w:rFonts w:cstheme="minorHAnsi"/>
        </w:rPr>
        <w:footnoteReference w:id="12"/>
      </w:r>
    </w:p>
    <w:p w14:paraId="1815AB12" w14:textId="229E545E" w:rsidR="00511E5B" w:rsidRDefault="00511E5B" w:rsidP="007C36E4">
      <w:pPr>
        <w:pStyle w:val="mpcbullets1"/>
        <w:numPr>
          <w:ilvl w:val="0"/>
          <w:numId w:val="0"/>
        </w:numPr>
        <w:rPr>
          <w:rFonts w:cstheme="minorHAnsi"/>
        </w:rPr>
      </w:pPr>
    </w:p>
    <w:p w14:paraId="662C9C53" w14:textId="04ECE00A" w:rsidR="00AD61B4" w:rsidRDefault="000B28F1" w:rsidP="007C36E4">
      <w:pPr>
        <w:pStyle w:val="mpcbullets1"/>
        <w:numPr>
          <w:ilvl w:val="0"/>
          <w:numId w:val="0"/>
        </w:numPr>
        <w:rPr>
          <w:rFonts w:cstheme="minorHAnsi"/>
        </w:rPr>
      </w:pPr>
      <w:r>
        <w:rPr>
          <w:rFonts w:cstheme="minorHAnsi"/>
        </w:rPr>
        <w:t xml:space="preserve">The </w:t>
      </w:r>
      <w:r w:rsidR="0056109E">
        <w:rPr>
          <w:rFonts w:cstheme="minorHAnsi"/>
        </w:rPr>
        <w:t xml:space="preserve">definition is supported with </w:t>
      </w:r>
      <w:r>
        <w:rPr>
          <w:rFonts w:cstheme="minorHAnsi"/>
        </w:rPr>
        <w:t>examples of staff members who may have access to consumers or who</w:t>
      </w:r>
      <w:r w:rsidR="003D152B">
        <w:rPr>
          <w:rFonts w:cstheme="minorHAnsi"/>
        </w:rPr>
        <w:t xml:space="preserve"> </w:t>
      </w:r>
      <w:r>
        <w:rPr>
          <w:rFonts w:cstheme="minorHAnsi"/>
        </w:rPr>
        <w:t xml:space="preserve">provide care or other services, including key personnel, office personnel, kitchen and laundry staff, and other employees and contractors who provide care and services. </w:t>
      </w:r>
    </w:p>
    <w:p w14:paraId="0E5B98A8" w14:textId="6AFC2145" w:rsidR="0056109E" w:rsidRDefault="0056109E" w:rsidP="007C36E4">
      <w:pPr>
        <w:pStyle w:val="mpcbullets1"/>
        <w:numPr>
          <w:ilvl w:val="0"/>
          <w:numId w:val="0"/>
        </w:numPr>
        <w:rPr>
          <w:rFonts w:cstheme="minorHAnsi"/>
        </w:rPr>
      </w:pPr>
    </w:p>
    <w:p w14:paraId="659555C4" w14:textId="14749AB6" w:rsidR="0056109E" w:rsidRDefault="0056109E" w:rsidP="007C36E4">
      <w:pPr>
        <w:pStyle w:val="mpcbullets1"/>
        <w:numPr>
          <w:ilvl w:val="0"/>
          <w:numId w:val="0"/>
        </w:numPr>
        <w:rPr>
          <w:rFonts w:cstheme="minorHAnsi"/>
        </w:rPr>
      </w:pPr>
      <w:r>
        <w:rPr>
          <w:rFonts w:cstheme="minorHAnsi"/>
        </w:rPr>
        <w:t>Consistent with the concept of a ‘risk-assessed role’ used to describe worker</w:t>
      </w:r>
      <w:r w:rsidR="00CB75E7">
        <w:rPr>
          <w:rFonts w:cstheme="minorHAnsi"/>
        </w:rPr>
        <w:t>s</w:t>
      </w:r>
      <w:r>
        <w:rPr>
          <w:rFonts w:cstheme="minorHAnsi"/>
        </w:rPr>
        <w:t xml:space="preserve"> in the NDIS model,</w:t>
      </w:r>
      <w:r w:rsidR="00B91F3B">
        <w:rPr>
          <w:rFonts w:cstheme="minorHAnsi"/>
        </w:rPr>
        <w:t xml:space="preserve"> where duties may include direct delivery to</w:t>
      </w:r>
      <w:r w:rsidR="003D5941">
        <w:rPr>
          <w:rFonts w:cstheme="minorHAnsi"/>
        </w:rPr>
        <w:t>,</w:t>
      </w:r>
      <w:r w:rsidR="00B91F3B">
        <w:rPr>
          <w:rFonts w:cstheme="minorHAnsi"/>
        </w:rPr>
        <w:t xml:space="preserve"> or more than incidental contact with</w:t>
      </w:r>
      <w:r w:rsidR="003D5941">
        <w:rPr>
          <w:rFonts w:cstheme="minorHAnsi"/>
        </w:rPr>
        <w:t>,</w:t>
      </w:r>
      <w:r>
        <w:rPr>
          <w:rFonts w:cstheme="minorHAnsi"/>
        </w:rPr>
        <w:t xml:space="preserve"> </w:t>
      </w:r>
      <w:r w:rsidR="00B91F3B">
        <w:rPr>
          <w:rFonts w:cstheme="minorHAnsi"/>
        </w:rPr>
        <w:t xml:space="preserve">a person with disability, </w:t>
      </w:r>
      <w:r w:rsidR="004E736A">
        <w:rPr>
          <w:rFonts w:cstheme="minorHAnsi"/>
        </w:rPr>
        <w:t xml:space="preserve">the definition of a </w:t>
      </w:r>
      <w:r w:rsidR="003D5941">
        <w:rPr>
          <w:rFonts w:cstheme="minorHAnsi"/>
        </w:rPr>
        <w:t>‘</w:t>
      </w:r>
      <w:r w:rsidR="004E736A">
        <w:rPr>
          <w:rFonts w:cstheme="minorHAnsi"/>
        </w:rPr>
        <w:t>staff member</w:t>
      </w:r>
      <w:r w:rsidR="003D5941">
        <w:rPr>
          <w:rFonts w:cstheme="minorHAnsi"/>
        </w:rPr>
        <w:t>’</w:t>
      </w:r>
      <w:r w:rsidR="004E736A">
        <w:rPr>
          <w:rFonts w:cstheme="minorHAnsi"/>
        </w:rPr>
        <w:t xml:space="preserve"> in aged care relies on the concept of a person who has access to, or is reasonably likely to have access to, consumers.</w:t>
      </w:r>
    </w:p>
    <w:p w14:paraId="72885815" w14:textId="77777777" w:rsidR="000B28F1" w:rsidRDefault="000B28F1" w:rsidP="007C36E4">
      <w:pPr>
        <w:pStyle w:val="mpcbullets1"/>
        <w:numPr>
          <w:ilvl w:val="0"/>
          <w:numId w:val="0"/>
        </w:numPr>
        <w:rPr>
          <w:rFonts w:cstheme="minorHAnsi"/>
        </w:rPr>
      </w:pPr>
    </w:p>
    <w:p w14:paraId="43800F0F" w14:textId="1A1A8B19" w:rsidR="000B28F1" w:rsidRPr="006A31BC" w:rsidRDefault="000B28F1" w:rsidP="000B28F1">
      <w:pPr>
        <w:pStyle w:val="mpcbullets1"/>
        <w:numPr>
          <w:ilvl w:val="0"/>
          <w:numId w:val="0"/>
        </w:numPr>
      </w:pPr>
      <w:r w:rsidRPr="006A31BC">
        <w:t>As noted in the Consultation Paper, a person will be characterised as holding a ‘risk-assessed role’ under the NDIS model if:</w:t>
      </w:r>
    </w:p>
    <w:p w14:paraId="22CE8FAA" w14:textId="77777777" w:rsidR="000B28F1" w:rsidRPr="006A31BC" w:rsidRDefault="000B28F1" w:rsidP="000B28F1">
      <w:pPr>
        <w:pStyle w:val="mpcbullets1"/>
        <w:numPr>
          <w:ilvl w:val="0"/>
          <w:numId w:val="0"/>
        </w:numPr>
      </w:pPr>
    </w:p>
    <w:p w14:paraId="696A1EBC" w14:textId="77777777" w:rsidR="000B28F1" w:rsidRPr="006A31BC" w:rsidRDefault="000B28F1" w:rsidP="000B28F1">
      <w:pPr>
        <w:pStyle w:val="mpcbullets1"/>
      </w:pPr>
      <w:r w:rsidRPr="006A31BC">
        <w:t xml:space="preserve">they are key personnel as defined under the </w:t>
      </w:r>
      <w:r w:rsidRPr="006A31BC">
        <w:rPr>
          <w:i/>
          <w:iCs/>
        </w:rPr>
        <w:t>NDIS Act 2013</w:t>
      </w:r>
    </w:p>
    <w:p w14:paraId="2729F20F" w14:textId="77777777" w:rsidR="000B28F1" w:rsidRPr="006A31BC" w:rsidRDefault="000B28F1" w:rsidP="000B28F1">
      <w:pPr>
        <w:pStyle w:val="mpcbullets1"/>
      </w:pPr>
      <w:r w:rsidRPr="006A31BC">
        <w:t>their normal duties include the direct delivery of specified supports or specified services to a person with disability, or</w:t>
      </w:r>
    </w:p>
    <w:p w14:paraId="0F20B915" w14:textId="6CB6268C" w:rsidR="000B28F1" w:rsidRPr="000B28F1" w:rsidRDefault="000B28F1" w:rsidP="000B28F1">
      <w:pPr>
        <w:pStyle w:val="mpcbullets1"/>
      </w:pPr>
      <w:r w:rsidRPr="006A31BC">
        <w:t>their normal duties require more than incidental contact with a person with disability.</w:t>
      </w:r>
      <w:r w:rsidR="00A8150E">
        <w:rPr>
          <w:rStyle w:val="FootnoteReference"/>
        </w:rPr>
        <w:footnoteReference w:id="13"/>
      </w:r>
      <w:r w:rsidRPr="006A31BC">
        <w:t xml:space="preserve"> </w:t>
      </w:r>
    </w:p>
    <w:p w14:paraId="5F16DDB5" w14:textId="77777777" w:rsidR="000B28F1" w:rsidRPr="00C55A21" w:rsidRDefault="000B28F1" w:rsidP="007C36E4">
      <w:pPr>
        <w:pStyle w:val="mpcbullets1"/>
        <w:numPr>
          <w:ilvl w:val="0"/>
          <w:numId w:val="0"/>
        </w:numPr>
        <w:rPr>
          <w:rFonts w:cstheme="minorHAnsi"/>
        </w:rPr>
      </w:pPr>
    </w:p>
    <w:p w14:paraId="1250A2D7" w14:textId="536929F3" w:rsidR="00511E5B" w:rsidRPr="00C55A21" w:rsidRDefault="00511E5B" w:rsidP="007C36E4">
      <w:pPr>
        <w:rPr>
          <w:rFonts w:cstheme="minorHAnsi"/>
        </w:rPr>
      </w:pPr>
      <w:r w:rsidRPr="00C55A21">
        <w:rPr>
          <w:rFonts w:cstheme="minorHAnsi"/>
        </w:rPr>
        <w:t xml:space="preserve">The advantages of </w:t>
      </w:r>
      <w:r>
        <w:rPr>
          <w:rFonts w:cstheme="minorHAnsi"/>
        </w:rPr>
        <w:t xml:space="preserve">applying screening requirements to </w:t>
      </w:r>
      <w:r w:rsidR="00B574BA">
        <w:rPr>
          <w:rFonts w:cstheme="minorHAnsi"/>
        </w:rPr>
        <w:t xml:space="preserve">the above group of </w:t>
      </w:r>
      <w:r>
        <w:rPr>
          <w:rFonts w:cstheme="minorHAnsi"/>
        </w:rPr>
        <w:t>aged care workers</w:t>
      </w:r>
      <w:r w:rsidR="009C66B8">
        <w:rPr>
          <w:rFonts w:cstheme="minorHAnsi"/>
        </w:rPr>
        <w:t xml:space="preserve"> (i.e. ‘staff members’ as currently defined in the legislation)</w:t>
      </w:r>
      <w:r w:rsidRPr="00C55A21">
        <w:rPr>
          <w:rFonts w:cstheme="minorHAnsi"/>
        </w:rPr>
        <w:t xml:space="preserve"> </w:t>
      </w:r>
      <w:r w:rsidR="00B574BA">
        <w:rPr>
          <w:rFonts w:cstheme="minorHAnsi"/>
        </w:rPr>
        <w:t xml:space="preserve">is </w:t>
      </w:r>
      <w:r w:rsidRPr="00C55A21">
        <w:rPr>
          <w:rFonts w:cstheme="minorHAnsi"/>
        </w:rPr>
        <w:t xml:space="preserve">that: </w:t>
      </w:r>
    </w:p>
    <w:p w14:paraId="3A83C8A7" w14:textId="77777777" w:rsidR="00511E5B" w:rsidRPr="00C55A21" w:rsidRDefault="00511E5B" w:rsidP="007C36E4">
      <w:pPr>
        <w:pStyle w:val="mpcbullets1"/>
        <w:numPr>
          <w:ilvl w:val="0"/>
          <w:numId w:val="0"/>
        </w:numPr>
        <w:rPr>
          <w:rFonts w:cstheme="minorHAnsi"/>
        </w:rPr>
      </w:pPr>
    </w:p>
    <w:p w14:paraId="6CB5917F" w14:textId="0756F6CE" w:rsidR="00511E5B" w:rsidRDefault="00511E5B" w:rsidP="007C36E4">
      <w:pPr>
        <w:pStyle w:val="mpcbullets1"/>
        <w:rPr>
          <w:rFonts w:cstheme="minorHAnsi"/>
        </w:rPr>
      </w:pPr>
      <w:r w:rsidRPr="00C55A21">
        <w:rPr>
          <w:rFonts w:cstheme="minorHAnsi"/>
        </w:rPr>
        <w:t xml:space="preserve">it would rely on a widely understood and existing definition within the sector such that providers would not be in doubt as to who was subject to screening </w:t>
      </w:r>
    </w:p>
    <w:p w14:paraId="3B4B662D" w14:textId="2E470392" w:rsidR="00976E82" w:rsidRPr="006A31BC" w:rsidRDefault="00511E5B" w:rsidP="00976E82">
      <w:pPr>
        <w:pStyle w:val="mpcbullets1"/>
        <w:rPr>
          <w:rFonts w:cstheme="minorHAnsi"/>
        </w:rPr>
      </w:pPr>
      <w:r w:rsidRPr="006A31BC">
        <w:rPr>
          <w:rFonts w:cstheme="minorHAnsi"/>
        </w:rPr>
        <w:t xml:space="preserve">it </w:t>
      </w:r>
      <w:r w:rsidR="00B574BA" w:rsidRPr="006A31BC">
        <w:rPr>
          <w:rFonts w:cstheme="minorHAnsi"/>
        </w:rPr>
        <w:t>broadly aligns with the NDIS definiti</w:t>
      </w:r>
      <w:r w:rsidR="00976E82" w:rsidRPr="006A31BC">
        <w:rPr>
          <w:rFonts w:cstheme="minorHAnsi"/>
        </w:rPr>
        <w:t>o</w:t>
      </w:r>
      <w:r w:rsidR="00B574BA" w:rsidRPr="006A31BC">
        <w:rPr>
          <w:rFonts w:cstheme="minorHAnsi"/>
        </w:rPr>
        <w:t xml:space="preserve">n of </w:t>
      </w:r>
      <w:r w:rsidR="00976E82" w:rsidRPr="006A31BC">
        <w:rPr>
          <w:rFonts w:cstheme="minorHAnsi"/>
        </w:rPr>
        <w:t xml:space="preserve">workers covered by the NDIS Worker Screening Check which focuses on key personnel and people performing a role for which the normal duties are likely to require more than incidental contact with a person with a disability. </w:t>
      </w:r>
    </w:p>
    <w:p w14:paraId="4A2457F9" w14:textId="77777777" w:rsidR="00511E5B" w:rsidRPr="00976E82" w:rsidRDefault="00511E5B" w:rsidP="00976E82">
      <w:pPr>
        <w:pStyle w:val="mpcbullets1"/>
        <w:numPr>
          <w:ilvl w:val="0"/>
          <w:numId w:val="0"/>
        </w:numPr>
        <w:ind w:left="360"/>
        <w:rPr>
          <w:rFonts w:cstheme="minorHAnsi"/>
        </w:rPr>
      </w:pPr>
    </w:p>
    <w:p w14:paraId="6F4FCE36" w14:textId="681DA316" w:rsidR="00511E5B" w:rsidRDefault="00511E5B" w:rsidP="007C36E4">
      <w:pPr>
        <w:pStyle w:val="mpcbullets1"/>
        <w:numPr>
          <w:ilvl w:val="0"/>
          <w:numId w:val="0"/>
        </w:numPr>
        <w:rPr>
          <w:rFonts w:cstheme="minorHAnsi"/>
        </w:rPr>
      </w:pPr>
      <w:r w:rsidRPr="00C55A21">
        <w:rPr>
          <w:rFonts w:cstheme="minorHAnsi"/>
        </w:rPr>
        <w:t xml:space="preserve">While the Consultation Paper tested the idea of exempting volunteers and students from the worker regulation scheme, many stakeholders flagged that screening should also include </w:t>
      </w:r>
      <w:r w:rsidRPr="00C55A21">
        <w:rPr>
          <w:rFonts w:cstheme="minorHAnsi"/>
        </w:rPr>
        <w:lastRenderedPageBreak/>
        <w:t>volunteers, with some noting that students and others with regular contact with consumers should also be included. In addition, some stakeholders suggested that</w:t>
      </w:r>
      <w:r>
        <w:rPr>
          <w:rFonts w:cstheme="minorHAnsi"/>
        </w:rPr>
        <w:t xml:space="preserve"> for consistency,</w:t>
      </w:r>
      <w:r w:rsidRPr="00C55A21">
        <w:rPr>
          <w:rFonts w:cstheme="minorHAnsi"/>
        </w:rPr>
        <w:t xml:space="preserve"> any changes to screening should also be reflected in the requirements for key personnel screenin</w:t>
      </w:r>
      <w:r>
        <w:rPr>
          <w:rFonts w:cstheme="minorHAnsi"/>
        </w:rPr>
        <w:t>g</w:t>
      </w:r>
      <w:r w:rsidRPr="00C55A21">
        <w:rPr>
          <w:rFonts w:cstheme="minorHAnsi"/>
        </w:rPr>
        <w:t>.</w:t>
      </w:r>
      <w:r w:rsidR="00146FF4">
        <w:rPr>
          <w:rStyle w:val="FootnoteReference"/>
          <w:rFonts w:cstheme="minorHAnsi"/>
        </w:rPr>
        <w:footnoteReference w:id="14"/>
      </w:r>
      <w:r w:rsidRPr="00C55A21">
        <w:rPr>
          <w:rFonts w:cstheme="minorHAnsi"/>
        </w:rPr>
        <w:t xml:space="preserve"> </w:t>
      </w:r>
    </w:p>
    <w:p w14:paraId="2914CB8D" w14:textId="77777777" w:rsidR="00AA1CD3" w:rsidRDefault="00AA1CD3" w:rsidP="007C36E4">
      <w:pPr>
        <w:pStyle w:val="mpcbullets1"/>
        <w:numPr>
          <w:ilvl w:val="0"/>
          <w:numId w:val="0"/>
        </w:numPr>
        <w:rPr>
          <w:rFonts w:cstheme="minorHAnsi"/>
        </w:rPr>
      </w:pPr>
    </w:p>
    <w:p w14:paraId="0B607C8D" w14:textId="17B4766A" w:rsidR="00511E5B" w:rsidRPr="00B50716" w:rsidRDefault="007976AE" w:rsidP="00B50716">
      <w:pPr>
        <w:pStyle w:val="mpcbullets1"/>
        <w:numPr>
          <w:ilvl w:val="0"/>
          <w:numId w:val="0"/>
        </w:numPr>
        <w:rPr>
          <w:rFonts w:cstheme="minorHAnsi"/>
        </w:rPr>
      </w:pPr>
      <w:r>
        <w:rPr>
          <w:rFonts w:cstheme="minorHAnsi"/>
        </w:rPr>
        <w:t>Noting the time this could take to implement, some stakeholders also</w:t>
      </w:r>
      <w:r w:rsidR="00B50716" w:rsidRPr="00B50716">
        <w:rPr>
          <w:rFonts w:cstheme="minorHAnsi"/>
        </w:rPr>
        <w:t xml:space="preserve"> </w:t>
      </w:r>
      <w:r w:rsidR="006A267D">
        <w:rPr>
          <w:rFonts w:cstheme="minorHAnsi"/>
        </w:rPr>
        <w:t>suggested</w:t>
      </w:r>
      <w:r w:rsidR="003D5941">
        <w:rPr>
          <w:rFonts w:cstheme="minorHAnsi"/>
        </w:rPr>
        <w:t xml:space="preserve"> that</w:t>
      </w:r>
      <w:r w:rsidR="00B50716" w:rsidRPr="00B50716">
        <w:rPr>
          <w:rFonts w:cstheme="minorHAnsi"/>
        </w:rPr>
        <w:t xml:space="preserve"> </w:t>
      </w:r>
      <w:r w:rsidR="00511E5B" w:rsidRPr="00B50716">
        <w:rPr>
          <w:rFonts w:cstheme="minorHAnsi"/>
        </w:rPr>
        <w:t>a staged approach</w:t>
      </w:r>
      <w:r w:rsidR="00AE55B3" w:rsidRPr="00B50716">
        <w:rPr>
          <w:rFonts w:cstheme="minorHAnsi"/>
        </w:rPr>
        <w:t xml:space="preserve"> could be adopted </w:t>
      </w:r>
      <w:r w:rsidR="00511E5B" w:rsidRPr="00B50716">
        <w:rPr>
          <w:rFonts w:cstheme="minorHAnsi"/>
        </w:rPr>
        <w:t>for the introduction of strengthened screening</w:t>
      </w:r>
      <w:r w:rsidR="003D5941">
        <w:rPr>
          <w:rFonts w:cstheme="minorHAnsi"/>
        </w:rPr>
        <w:t>. A staged approach would</w:t>
      </w:r>
      <w:r w:rsidR="00B50716" w:rsidRPr="00B50716">
        <w:rPr>
          <w:rFonts w:cstheme="minorHAnsi"/>
        </w:rPr>
        <w:t xml:space="preserve"> </w:t>
      </w:r>
      <w:r w:rsidR="00511E5B" w:rsidRPr="00B50716">
        <w:rPr>
          <w:rFonts w:cstheme="minorHAnsi"/>
        </w:rPr>
        <w:t>prioritis</w:t>
      </w:r>
      <w:r w:rsidR="00B50716" w:rsidRPr="00B50716">
        <w:rPr>
          <w:rFonts w:cstheme="minorHAnsi"/>
        </w:rPr>
        <w:t xml:space="preserve">e </w:t>
      </w:r>
      <w:r w:rsidR="00511E5B" w:rsidRPr="00B50716">
        <w:rPr>
          <w:rFonts w:cstheme="minorHAnsi"/>
        </w:rPr>
        <w:t>direct care workers</w:t>
      </w:r>
      <w:r w:rsidR="00960113">
        <w:rPr>
          <w:rFonts w:cstheme="minorHAnsi"/>
        </w:rPr>
        <w:t xml:space="preserve"> (</w:t>
      </w:r>
      <w:r w:rsidR="009C66B8">
        <w:rPr>
          <w:rFonts w:cstheme="minorHAnsi"/>
        </w:rPr>
        <w:t>such as</w:t>
      </w:r>
      <w:r w:rsidR="00960113">
        <w:rPr>
          <w:rFonts w:cstheme="minorHAnsi"/>
        </w:rPr>
        <w:t xml:space="preserve"> PCWs)</w:t>
      </w:r>
      <w:r w:rsidR="00511E5B" w:rsidRPr="00B50716">
        <w:rPr>
          <w:rFonts w:cstheme="minorHAnsi"/>
        </w:rPr>
        <w:t xml:space="preserve"> and</w:t>
      </w:r>
      <w:r w:rsidR="003D5941">
        <w:rPr>
          <w:rFonts w:cstheme="minorHAnsi"/>
        </w:rPr>
        <w:t xml:space="preserve"> could</w:t>
      </w:r>
      <w:r w:rsidR="00511E5B" w:rsidRPr="00B50716">
        <w:rPr>
          <w:rFonts w:cstheme="minorHAnsi"/>
        </w:rPr>
        <w:t xml:space="preserve"> then</w:t>
      </w:r>
      <w:r w:rsidR="003D5941">
        <w:rPr>
          <w:rFonts w:cstheme="minorHAnsi"/>
        </w:rPr>
        <w:t xml:space="preserve"> be</w:t>
      </w:r>
      <w:r w:rsidR="00511E5B" w:rsidRPr="00B50716">
        <w:rPr>
          <w:rFonts w:cstheme="minorHAnsi"/>
        </w:rPr>
        <w:t xml:space="preserve"> extend</w:t>
      </w:r>
      <w:r w:rsidR="009C66B8">
        <w:rPr>
          <w:rFonts w:cstheme="minorHAnsi"/>
        </w:rPr>
        <w:t>ed</w:t>
      </w:r>
      <w:r w:rsidR="00511E5B" w:rsidRPr="00B50716">
        <w:rPr>
          <w:rFonts w:cstheme="minorHAnsi"/>
        </w:rPr>
        <w:t xml:space="preserve"> </w:t>
      </w:r>
      <w:r w:rsidR="003D5941">
        <w:rPr>
          <w:rFonts w:cstheme="minorHAnsi"/>
        </w:rPr>
        <w:t xml:space="preserve">in future </w:t>
      </w:r>
      <w:r w:rsidR="00511E5B" w:rsidRPr="00B50716">
        <w:rPr>
          <w:rFonts w:cstheme="minorHAnsi"/>
        </w:rPr>
        <w:t>to</w:t>
      </w:r>
      <w:r w:rsidR="003D5941">
        <w:rPr>
          <w:rFonts w:cstheme="minorHAnsi"/>
        </w:rPr>
        <w:t xml:space="preserve"> also include</w:t>
      </w:r>
      <w:r w:rsidR="00511E5B" w:rsidRPr="00B50716">
        <w:rPr>
          <w:rFonts w:cstheme="minorHAnsi"/>
        </w:rPr>
        <w:t xml:space="preserve"> non-direct care staff</w:t>
      </w:r>
      <w:r w:rsidR="00960113">
        <w:rPr>
          <w:rFonts w:cstheme="minorHAnsi"/>
        </w:rPr>
        <w:t xml:space="preserve"> </w:t>
      </w:r>
      <w:r w:rsidR="003D5941">
        <w:rPr>
          <w:rFonts w:cstheme="minorHAnsi"/>
        </w:rPr>
        <w:t>(</w:t>
      </w:r>
      <w:r w:rsidR="00960113">
        <w:rPr>
          <w:rFonts w:cstheme="minorHAnsi"/>
        </w:rPr>
        <w:t>like office personnel</w:t>
      </w:r>
      <w:r w:rsidR="00511E5B" w:rsidRPr="00B50716">
        <w:rPr>
          <w:rFonts w:cstheme="minorHAnsi"/>
        </w:rPr>
        <w:t>, key personnel and</w:t>
      </w:r>
      <w:r w:rsidR="003D5941">
        <w:rPr>
          <w:rFonts w:cstheme="minorHAnsi"/>
        </w:rPr>
        <w:t>, potentially,</w:t>
      </w:r>
      <w:r w:rsidR="00511E5B" w:rsidRPr="00B50716">
        <w:rPr>
          <w:rFonts w:cstheme="minorHAnsi"/>
        </w:rPr>
        <w:t xml:space="preserve"> volunteers</w:t>
      </w:r>
      <w:r w:rsidR="003D5941">
        <w:rPr>
          <w:rFonts w:cstheme="minorHAnsi"/>
        </w:rPr>
        <w:t>)</w:t>
      </w:r>
      <w:r w:rsidR="00511E5B" w:rsidRPr="00B50716">
        <w:rPr>
          <w:rFonts w:cstheme="minorHAnsi"/>
        </w:rPr>
        <w:t xml:space="preserve"> who have more than incidental contact with consumers. </w:t>
      </w:r>
    </w:p>
    <w:p w14:paraId="0F96D670" w14:textId="77777777" w:rsidR="00511E5B" w:rsidRPr="00C55A21" w:rsidRDefault="00511E5B" w:rsidP="007C36E4">
      <w:pPr>
        <w:pStyle w:val="mpcbullets1"/>
        <w:numPr>
          <w:ilvl w:val="0"/>
          <w:numId w:val="0"/>
        </w:numPr>
        <w:rPr>
          <w:rFonts w:cstheme="minorHAnsi"/>
        </w:rPr>
      </w:pPr>
    </w:p>
    <w:p w14:paraId="1BB06EFF" w14:textId="667A287B" w:rsidR="00CF6971" w:rsidRPr="00AA1CD3" w:rsidRDefault="00511E5B" w:rsidP="007C36E4">
      <w:pPr>
        <w:pStyle w:val="mpcbullets1"/>
        <w:numPr>
          <w:ilvl w:val="0"/>
          <w:numId w:val="0"/>
        </w:numPr>
        <w:rPr>
          <w:rFonts w:cstheme="minorHAnsi"/>
        </w:rPr>
      </w:pPr>
      <w:r w:rsidRPr="00AA1CD3">
        <w:rPr>
          <w:rFonts w:cstheme="minorHAnsi"/>
        </w:rPr>
        <w:t xml:space="preserve">Stakeholders </w:t>
      </w:r>
      <w:r w:rsidR="00CF6971" w:rsidRPr="00AA1CD3">
        <w:rPr>
          <w:rFonts w:cstheme="minorHAnsi"/>
        </w:rPr>
        <w:t xml:space="preserve">were also generally supportive of the aged care scheme recognising worker clearances (or exclusions) though other processes such as </w:t>
      </w:r>
      <w:r w:rsidRPr="00AA1CD3">
        <w:rPr>
          <w:rFonts w:cstheme="minorHAnsi"/>
        </w:rPr>
        <w:t>the National Scheme</w:t>
      </w:r>
      <w:r w:rsidR="00643102" w:rsidRPr="00AA1CD3">
        <w:rPr>
          <w:rFonts w:cstheme="minorHAnsi"/>
        </w:rPr>
        <w:t xml:space="preserve"> </w:t>
      </w:r>
      <w:r w:rsidR="00CF6971" w:rsidRPr="00AA1CD3">
        <w:rPr>
          <w:rFonts w:cstheme="minorHAnsi"/>
        </w:rPr>
        <w:t>and NDIS</w:t>
      </w:r>
      <w:r w:rsidR="002333C0">
        <w:rPr>
          <w:rFonts w:cstheme="minorHAnsi"/>
        </w:rPr>
        <w:t>,</w:t>
      </w:r>
      <w:r w:rsidR="00CF6971" w:rsidRPr="00AA1CD3">
        <w:rPr>
          <w:rFonts w:cstheme="minorHAnsi"/>
        </w:rPr>
        <w:t xml:space="preserve"> to reduce duplication of regulatory requirements for workers working across health, disability and aged care.</w:t>
      </w:r>
      <w:r w:rsidR="00992D72">
        <w:rPr>
          <w:rFonts w:cstheme="minorHAnsi"/>
        </w:rPr>
        <w:t xml:space="preserve"> Stakeholders were specifically asked about mutual recognition as part of the consultation; this is detailed further below. </w:t>
      </w:r>
    </w:p>
    <w:p w14:paraId="33BB25AB" w14:textId="0BBEE1AA" w:rsidR="00984F11" w:rsidRDefault="00984F11" w:rsidP="007C36E4">
      <w:pPr>
        <w:pStyle w:val="mpcbullets1"/>
        <w:numPr>
          <w:ilvl w:val="0"/>
          <w:numId w:val="0"/>
        </w:numPr>
        <w:rPr>
          <w:rFonts w:cstheme="minorHAnsi"/>
        </w:rPr>
      </w:pPr>
      <w:r>
        <w:rPr>
          <w:rFonts w:cstheme="minorHAnsi"/>
        </w:rPr>
        <w:br w:type="page"/>
      </w:r>
    </w:p>
    <w:p w14:paraId="34E3DDB9" w14:textId="77777777" w:rsidR="00892795" w:rsidRDefault="00892795" w:rsidP="007C36E4">
      <w:pPr>
        <w:pStyle w:val="mpcbullets1"/>
        <w:numPr>
          <w:ilvl w:val="0"/>
          <w:numId w:val="0"/>
        </w:numPr>
        <w:rPr>
          <w:rFonts w:cstheme="minorHAnsi"/>
        </w:rPr>
      </w:pPr>
    </w:p>
    <w:p w14:paraId="35FF2990" w14:textId="77777777" w:rsidR="00892795" w:rsidRPr="0079650B" w:rsidRDefault="00892795" w:rsidP="007C36E4">
      <w:pPr>
        <w:pStyle w:val="mpcheading2"/>
        <w:spacing w:after="0"/>
      </w:pPr>
      <w:bookmarkStart w:id="31" w:name="_Toc45807950"/>
      <w:bookmarkStart w:id="32" w:name="_Toc49253240"/>
      <w:r w:rsidRPr="0079650B">
        <w:t xml:space="preserve">What </w:t>
      </w:r>
      <w:r>
        <w:t>should be</w:t>
      </w:r>
      <w:r w:rsidRPr="0079650B">
        <w:t xml:space="preserve"> assessed</w:t>
      </w:r>
      <w:r>
        <w:t>?</w:t>
      </w:r>
      <w:bookmarkEnd w:id="31"/>
      <w:bookmarkEnd w:id="32"/>
    </w:p>
    <w:p w14:paraId="18EA4A76" w14:textId="77777777" w:rsidR="00892795" w:rsidRPr="0079650B" w:rsidRDefault="00892795" w:rsidP="007C36E4">
      <w:pPr>
        <w:pStyle w:val="mpcbullets1"/>
        <w:numPr>
          <w:ilvl w:val="0"/>
          <w:numId w:val="0"/>
        </w:numPr>
        <w:rPr>
          <w:rFonts w:cstheme="minorHAnsi"/>
        </w:rPr>
      </w:pPr>
    </w:p>
    <w:p w14:paraId="6F375FD7" w14:textId="77777777" w:rsidR="00892795" w:rsidRPr="00AC5AD4" w:rsidRDefault="00892795" w:rsidP="007C36E4">
      <w:pPr>
        <w:pStyle w:val="mpcheading2"/>
        <w:shd w:val="clear" w:color="auto" w:fill="auto"/>
        <w:spacing w:after="0"/>
        <w:rPr>
          <w:color w:val="auto"/>
        </w:rPr>
      </w:pPr>
      <w:bookmarkStart w:id="33" w:name="_Toc45807951"/>
      <w:bookmarkStart w:id="34" w:name="_Toc49253241"/>
      <w:r w:rsidRPr="00AC5AD4">
        <w:rPr>
          <w:color w:val="auto"/>
        </w:rPr>
        <w:t>Criminal history and risk assessment</w:t>
      </w:r>
      <w:bookmarkEnd w:id="33"/>
      <w:bookmarkEnd w:id="34"/>
      <w:r w:rsidRPr="00AC5AD4">
        <w:rPr>
          <w:color w:val="auto"/>
        </w:rPr>
        <w:t xml:space="preserve"> </w:t>
      </w:r>
    </w:p>
    <w:p w14:paraId="3A64A62E" w14:textId="77777777" w:rsidR="00892795" w:rsidRPr="00D02985" w:rsidRDefault="00892795" w:rsidP="007C36E4">
      <w:pPr>
        <w:rPr>
          <w:rFonts w:cstheme="minorHAnsi"/>
        </w:rPr>
      </w:pPr>
    </w:p>
    <w:p w14:paraId="4247FBEB" w14:textId="77777777" w:rsidR="00892795" w:rsidRPr="00D02985" w:rsidRDefault="00892795" w:rsidP="007C36E4">
      <w:pPr>
        <w:pBdr>
          <w:top w:val="single" w:sz="4" w:space="1" w:color="auto"/>
          <w:left w:val="single" w:sz="4" w:space="4" w:color="auto"/>
          <w:bottom w:val="single" w:sz="4" w:space="1" w:color="auto"/>
          <w:right w:val="single" w:sz="4" w:space="4" w:color="auto"/>
        </w:pBdr>
        <w:shd w:val="clear" w:color="auto" w:fill="F2F2F2" w:themeFill="background1" w:themeFillShade="F2"/>
        <w:rPr>
          <w:rFonts w:cstheme="minorHAnsi"/>
        </w:rPr>
      </w:pPr>
      <w:r w:rsidRPr="00D02985">
        <w:rPr>
          <w:rFonts w:cstheme="minorHAnsi"/>
        </w:rPr>
        <w:t>Of the stakeholders responding to online consultation:</w:t>
      </w:r>
    </w:p>
    <w:p w14:paraId="5E982B9A" w14:textId="77777777" w:rsidR="00892795" w:rsidRPr="00D02985" w:rsidRDefault="00892795" w:rsidP="007C36E4">
      <w:pPr>
        <w:pBdr>
          <w:top w:val="single" w:sz="4" w:space="1" w:color="auto"/>
          <w:left w:val="single" w:sz="4" w:space="4" w:color="auto"/>
          <w:bottom w:val="single" w:sz="4" w:space="1" w:color="auto"/>
          <w:right w:val="single" w:sz="4" w:space="4" w:color="auto"/>
        </w:pBdr>
        <w:shd w:val="clear" w:color="auto" w:fill="F2F2F2" w:themeFill="background1" w:themeFillShade="F2"/>
        <w:rPr>
          <w:rFonts w:cstheme="minorHAnsi"/>
        </w:rPr>
      </w:pPr>
    </w:p>
    <w:p w14:paraId="7F52634E" w14:textId="187D2066" w:rsidR="006473BF" w:rsidRPr="006473BF" w:rsidRDefault="006473BF" w:rsidP="006473BF">
      <w:pPr>
        <w:pStyle w:val="mpcbullets1"/>
        <w:pBdr>
          <w:top w:val="single" w:sz="4" w:space="1" w:color="auto"/>
          <w:left w:val="single" w:sz="4" w:space="4" w:color="auto"/>
          <w:bottom w:val="single" w:sz="4" w:space="1" w:color="auto"/>
          <w:right w:val="single" w:sz="4" w:space="4" w:color="auto"/>
        </w:pBdr>
        <w:shd w:val="clear" w:color="auto" w:fill="F2F2F2" w:themeFill="background1" w:themeFillShade="F2"/>
        <w:contextualSpacing/>
        <w:rPr>
          <w:rFonts w:cstheme="minorHAnsi"/>
        </w:rPr>
      </w:pPr>
      <w:r w:rsidRPr="00D02985">
        <w:rPr>
          <w:rFonts w:cstheme="minorHAnsi"/>
        </w:rPr>
        <w:t>29% selected Option 1, ‘Providers continue to assess criminal history for workers in line with aged care legislation, funding agreements and guidance (status quo)’</w:t>
      </w:r>
    </w:p>
    <w:p w14:paraId="0ECDACDB" w14:textId="018969EA" w:rsidR="00892795" w:rsidRPr="00D02985" w:rsidRDefault="00892795" w:rsidP="007C36E4">
      <w:pPr>
        <w:pStyle w:val="mpcbullets1"/>
        <w:pBdr>
          <w:top w:val="single" w:sz="4" w:space="1" w:color="auto"/>
          <w:left w:val="single" w:sz="4" w:space="4" w:color="auto"/>
          <w:bottom w:val="single" w:sz="4" w:space="1" w:color="auto"/>
          <w:right w:val="single" w:sz="4" w:space="4" w:color="auto"/>
        </w:pBdr>
        <w:shd w:val="clear" w:color="auto" w:fill="F2F2F2" w:themeFill="background1" w:themeFillShade="F2"/>
        <w:contextualSpacing/>
        <w:rPr>
          <w:rFonts w:cstheme="minorHAnsi"/>
        </w:rPr>
      </w:pPr>
      <w:r w:rsidRPr="00D02985">
        <w:rPr>
          <w:rFonts w:cstheme="minorHAnsi"/>
        </w:rPr>
        <w:t>55% selected Option 2, ‘Establish a centralised assessment of criminal history for workers (based on the NDIS model</w:t>
      </w:r>
      <w:r w:rsidR="00FD270A">
        <w:rPr>
          <w:rFonts w:cstheme="minorHAnsi"/>
        </w:rPr>
        <w:t>)</w:t>
      </w:r>
      <w:r w:rsidRPr="00D02985">
        <w:rPr>
          <w:rFonts w:cstheme="minorHAnsi"/>
        </w:rPr>
        <w:t>’ as their preferred approach to worker screening</w:t>
      </w:r>
    </w:p>
    <w:p w14:paraId="0AD884E6" w14:textId="77777777" w:rsidR="00892795" w:rsidRPr="00D02985" w:rsidRDefault="00892795" w:rsidP="007C36E4">
      <w:pPr>
        <w:pStyle w:val="mpcbullets1"/>
        <w:pBdr>
          <w:top w:val="single" w:sz="4" w:space="1" w:color="auto"/>
          <w:left w:val="single" w:sz="4" w:space="4" w:color="auto"/>
          <w:bottom w:val="single" w:sz="4" w:space="1" w:color="auto"/>
          <w:right w:val="single" w:sz="4" w:space="4" w:color="auto"/>
        </w:pBdr>
        <w:shd w:val="clear" w:color="auto" w:fill="F2F2F2" w:themeFill="background1" w:themeFillShade="F2"/>
        <w:contextualSpacing/>
        <w:rPr>
          <w:rFonts w:cstheme="minorHAnsi"/>
        </w:rPr>
      </w:pPr>
      <w:r w:rsidRPr="00D02985">
        <w:rPr>
          <w:rFonts w:cstheme="minorHAnsi"/>
        </w:rPr>
        <w:t>16% did not answer.</w:t>
      </w:r>
    </w:p>
    <w:p w14:paraId="48077B31" w14:textId="62DB6119" w:rsidR="00892795" w:rsidRDefault="00892795" w:rsidP="007C36E4">
      <w:pPr>
        <w:pStyle w:val="mpcbullets1"/>
        <w:numPr>
          <w:ilvl w:val="0"/>
          <w:numId w:val="0"/>
        </w:numPr>
        <w:rPr>
          <w:rFonts w:cstheme="minorHAnsi"/>
        </w:rPr>
      </w:pPr>
    </w:p>
    <w:p w14:paraId="5F57FA38" w14:textId="355104DE" w:rsidR="00ED63D6" w:rsidRPr="00D02985" w:rsidRDefault="00ED63D6" w:rsidP="00ED63D6">
      <w:pPr>
        <w:rPr>
          <w:rFonts w:cstheme="minorHAnsi"/>
        </w:rPr>
      </w:pPr>
      <w:r>
        <w:rPr>
          <w:rFonts w:cstheme="minorHAnsi"/>
        </w:rPr>
        <w:t xml:space="preserve">A minority of </w:t>
      </w:r>
      <w:r w:rsidRPr="00D02985">
        <w:rPr>
          <w:rFonts w:cstheme="minorHAnsi"/>
        </w:rPr>
        <w:t>stakeholders</w:t>
      </w:r>
      <w:r>
        <w:rPr>
          <w:rFonts w:cstheme="minorHAnsi"/>
        </w:rPr>
        <w:t xml:space="preserve"> p</w:t>
      </w:r>
      <w:r w:rsidRPr="00D02985">
        <w:rPr>
          <w:rFonts w:cstheme="minorHAnsi"/>
        </w:rPr>
        <w:t xml:space="preserve">referred Option 1 </w:t>
      </w:r>
      <w:r>
        <w:rPr>
          <w:rFonts w:cstheme="minorHAnsi"/>
        </w:rPr>
        <w:t xml:space="preserve">(status quo), with some describing </w:t>
      </w:r>
      <w:r w:rsidRPr="00D02985">
        <w:rPr>
          <w:rFonts w:cstheme="minorHAnsi"/>
        </w:rPr>
        <w:t xml:space="preserve">additional protections and responsibilities </w:t>
      </w:r>
      <w:r>
        <w:rPr>
          <w:rFonts w:cstheme="minorHAnsi"/>
        </w:rPr>
        <w:t>that could complement existing arrangements</w:t>
      </w:r>
      <w:r w:rsidRPr="00D02985">
        <w:rPr>
          <w:rFonts w:cstheme="minorHAnsi"/>
        </w:rPr>
        <w:t xml:space="preserve"> such as:  </w:t>
      </w:r>
    </w:p>
    <w:p w14:paraId="4D270F5C" w14:textId="77777777" w:rsidR="00ED63D6" w:rsidRPr="00D02985" w:rsidRDefault="00ED63D6" w:rsidP="00ED63D6">
      <w:pPr>
        <w:rPr>
          <w:rFonts w:cstheme="minorHAnsi"/>
        </w:rPr>
      </w:pPr>
    </w:p>
    <w:p w14:paraId="6E850E2B" w14:textId="0BE1ACE0" w:rsidR="00ED63D6" w:rsidRPr="00D44E9A" w:rsidRDefault="00ED63D6" w:rsidP="00200350">
      <w:pPr>
        <w:pStyle w:val="mpcbullets1"/>
      </w:pPr>
      <w:r w:rsidRPr="00D02985">
        <w:t xml:space="preserve">workers be required to declare notifiable criminal conduct beyond the precluding offences throughout their employment </w:t>
      </w:r>
      <w:r w:rsidR="0096157A">
        <w:t xml:space="preserve">to their employers </w:t>
      </w:r>
      <w:r w:rsidRPr="00D02985">
        <w:t>and/or that providers be responsible for reporting certain conduct</w:t>
      </w:r>
      <w:r w:rsidR="0096157A">
        <w:t xml:space="preserve"> to the ACQS Commission or the department</w:t>
      </w:r>
    </w:p>
    <w:p w14:paraId="017D67FC" w14:textId="77777777" w:rsidR="00ED63D6" w:rsidRPr="00D44E9A" w:rsidRDefault="00ED63D6" w:rsidP="00200350">
      <w:pPr>
        <w:pStyle w:val="mpcbullets1"/>
      </w:pPr>
      <w:r w:rsidRPr="00D02985">
        <w:t xml:space="preserve">police checks be conducted more regularly than every 3 years (with some suggesting annually) and employers should </w:t>
      </w:r>
      <w:r w:rsidRPr="00200350">
        <w:t>not</w:t>
      </w:r>
      <w:r w:rsidRPr="00D02985">
        <w:t xml:space="preserve"> accept police certificates older than 6 months at the time of recruitment</w:t>
      </w:r>
    </w:p>
    <w:p w14:paraId="430AD270" w14:textId="77777777" w:rsidR="00ED63D6" w:rsidRPr="00D02985" w:rsidRDefault="00ED63D6" w:rsidP="00ED63D6">
      <w:pPr>
        <w:pStyle w:val="mpcbullets1"/>
        <w:rPr>
          <w:rFonts w:cstheme="minorHAnsi"/>
        </w:rPr>
      </w:pPr>
      <w:r w:rsidRPr="00D02985">
        <w:rPr>
          <w:rFonts w:cstheme="minorHAnsi"/>
        </w:rPr>
        <w:t xml:space="preserve">a new offence be introduced into the Act </w:t>
      </w:r>
      <w:r>
        <w:rPr>
          <w:rFonts w:cstheme="minorHAnsi"/>
        </w:rPr>
        <w:t>for giving an</w:t>
      </w:r>
      <w:r w:rsidRPr="00D02985">
        <w:rPr>
          <w:rFonts w:cstheme="minorHAnsi"/>
        </w:rPr>
        <w:t xml:space="preserve"> employment reference</w:t>
      </w:r>
      <w:r>
        <w:rPr>
          <w:rFonts w:cstheme="minorHAnsi"/>
        </w:rPr>
        <w:t xml:space="preserve"> (whether by a provider or another worker)</w:t>
      </w:r>
      <w:r w:rsidRPr="00D02985">
        <w:rPr>
          <w:rFonts w:cstheme="minorHAnsi"/>
        </w:rPr>
        <w:t xml:space="preserve"> that is materially misleading.</w:t>
      </w:r>
    </w:p>
    <w:p w14:paraId="1528F552" w14:textId="77777777" w:rsidR="00ED63D6" w:rsidRPr="00D02985" w:rsidRDefault="00ED63D6" w:rsidP="007C36E4">
      <w:pPr>
        <w:pStyle w:val="mpcbullets1"/>
        <w:numPr>
          <w:ilvl w:val="0"/>
          <w:numId w:val="0"/>
        </w:numPr>
        <w:rPr>
          <w:rFonts w:cstheme="minorHAnsi"/>
        </w:rPr>
      </w:pPr>
    </w:p>
    <w:p w14:paraId="620DE9A1" w14:textId="3C867CE6" w:rsidR="00892795" w:rsidRPr="00D02985" w:rsidRDefault="00ED63D6" w:rsidP="007C36E4">
      <w:pPr>
        <w:pStyle w:val="mpcbullets1"/>
        <w:numPr>
          <w:ilvl w:val="0"/>
          <w:numId w:val="0"/>
        </w:numPr>
        <w:rPr>
          <w:rFonts w:cstheme="minorHAnsi"/>
        </w:rPr>
      </w:pPr>
      <w:r>
        <w:rPr>
          <w:rFonts w:cstheme="minorHAnsi"/>
        </w:rPr>
        <w:t>A m</w:t>
      </w:r>
      <w:r w:rsidR="00892795" w:rsidRPr="00D02985">
        <w:rPr>
          <w:rFonts w:cstheme="minorHAnsi"/>
        </w:rPr>
        <w:t xml:space="preserve">ajority of respondents preferred the establishment of a centralised assessment of workers as per Option 2. Stakeholders </w:t>
      </w:r>
      <w:r w:rsidR="00643102">
        <w:rPr>
          <w:rFonts w:cstheme="minorHAnsi"/>
        </w:rPr>
        <w:t xml:space="preserve">variously described the </w:t>
      </w:r>
      <w:r w:rsidR="00892795" w:rsidRPr="00D02985">
        <w:rPr>
          <w:rFonts w:cstheme="minorHAnsi"/>
        </w:rPr>
        <w:t xml:space="preserve">benefits of Option 2 </w:t>
      </w:r>
      <w:r w:rsidR="00643102">
        <w:rPr>
          <w:rFonts w:cstheme="minorHAnsi"/>
        </w:rPr>
        <w:t>as being</w:t>
      </w:r>
      <w:r w:rsidR="00892795" w:rsidRPr="00D02985">
        <w:rPr>
          <w:rFonts w:cstheme="minorHAnsi"/>
        </w:rPr>
        <w:t xml:space="preserve">: </w:t>
      </w:r>
    </w:p>
    <w:p w14:paraId="4AC8B5BB" w14:textId="77777777" w:rsidR="00892795" w:rsidRPr="00D02985" w:rsidRDefault="00892795" w:rsidP="007C36E4">
      <w:pPr>
        <w:pStyle w:val="mpcbullets1"/>
        <w:numPr>
          <w:ilvl w:val="0"/>
          <w:numId w:val="0"/>
        </w:numPr>
        <w:rPr>
          <w:rFonts w:cstheme="minorHAnsi"/>
        </w:rPr>
      </w:pPr>
    </w:p>
    <w:p w14:paraId="7AE45722" w14:textId="4E0C0606" w:rsidR="00892795" w:rsidRPr="00D44E9A" w:rsidRDefault="00892795" w:rsidP="00200350">
      <w:pPr>
        <w:pStyle w:val="mpcbullets1"/>
      </w:pPr>
      <w:r w:rsidRPr="00D02985">
        <w:t>reduced administrative</w:t>
      </w:r>
      <w:r w:rsidR="00643102">
        <w:t xml:space="preserve"> burden</w:t>
      </w:r>
      <w:r w:rsidRPr="00D02985">
        <w:t xml:space="preserve"> and cost for both workers and employers, particularly where workers are employed across many employers and aged care settings, </w:t>
      </w:r>
      <w:r w:rsidR="00643102">
        <w:t xml:space="preserve">and </w:t>
      </w:r>
      <w:r w:rsidRPr="00D02985">
        <w:t xml:space="preserve">where submission of multiple police checks </w:t>
      </w:r>
      <w:r w:rsidR="00643102">
        <w:t xml:space="preserve">would otherwise be </w:t>
      </w:r>
      <w:r w:rsidRPr="00D02985">
        <w:t>required</w:t>
      </w:r>
    </w:p>
    <w:p w14:paraId="1894B9AF" w14:textId="5EC8384A" w:rsidR="00892795" w:rsidRPr="00D44E9A" w:rsidRDefault="00892795" w:rsidP="00200350">
      <w:pPr>
        <w:pStyle w:val="mpcbullets1"/>
      </w:pPr>
      <w:r w:rsidRPr="00D02985">
        <w:t>the potential for real time updates regarding matters relevant to workers</w:t>
      </w:r>
      <w:r w:rsidR="00AE437E">
        <w:t>’</w:t>
      </w:r>
      <w:r w:rsidRPr="00D02985">
        <w:t xml:space="preserve"> criminal history and suitability </w:t>
      </w:r>
    </w:p>
    <w:p w14:paraId="6105AF85" w14:textId="18DB51A9" w:rsidR="00892795" w:rsidRPr="00D44E9A" w:rsidRDefault="00892795" w:rsidP="00200350">
      <w:pPr>
        <w:pStyle w:val="mpcbullets1"/>
      </w:pPr>
      <w:r w:rsidRPr="00D02985">
        <w:t xml:space="preserve">consistent consideration of workers’ criminal histories and outcomes of risk assessments, which would improve worker protection in relation to decisions about suitability to work in the industry and would reduce the burden on providers to make such assessments </w:t>
      </w:r>
    </w:p>
    <w:p w14:paraId="47FB152C" w14:textId="0E7266D7" w:rsidR="00892795" w:rsidRPr="00D44E9A" w:rsidRDefault="00892795" w:rsidP="00200350">
      <w:pPr>
        <w:pStyle w:val="mpcbullets1"/>
      </w:pPr>
      <w:r w:rsidRPr="00D02985">
        <w:t>that centralisation would facilitate mutual recognition or cross-sector work if other industries were able to access the assessment for their own purposes (e.g. where an aged care worker was applying to work in disability</w:t>
      </w:r>
      <w:r w:rsidR="00643102">
        <w:t xml:space="preserve"> services</w:t>
      </w:r>
      <w:r w:rsidRPr="00D02985">
        <w:t>)</w:t>
      </w:r>
      <w:r w:rsidR="00ED63D6">
        <w:t>.</w:t>
      </w:r>
    </w:p>
    <w:p w14:paraId="62171547" w14:textId="36847A8D" w:rsidR="00892795" w:rsidRDefault="00892795" w:rsidP="00200350">
      <w:pPr>
        <w:pStyle w:val="mpcbullets1"/>
        <w:numPr>
          <w:ilvl w:val="0"/>
          <w:numId w:val="0"/>
        </w:numPr>
        <w:ind w:left="360"/>
      </w:pPr>
    </w:p>
    <w:p w14:paraId="2628CD19" w14:textId="422450AA" w:rsidR="005C5E13" w:rsidRPr="00D02985" w:rsidRDefault="005C5E13" w:rsidP="007C36E4">
      <w:pPr>
        <w:pStyle w:val="mpcbullets1"/>
        <w:numPr>
          <w:ilvl w:val="0"/>
          <w:numId w:val="0"/>
        </w:numPr>
        <w:rPr>
          <w:rFonts w:cstheme="minorHAnsi"/>
        </w:rPr>
      </w:pPr>
      <w:r w:rsidRPr="00D02985">
        <w:rPr>
          <w:rFonts w:cstheme="minorHAnsi"/>
        </w:rPr>
        <w:t>While stakeholders were not explicitly asked to provide comments about the types of criminal offences that should exclude aged care workers beyond the current offences set out in the Act (i.e. murder, sexual assault or assault for which the person was imprisoned), many identified broader offences that should be considered as part of a risk assessment</w:t>
      </w:r>
      <w:r w:rsidR="00ED63D6">
        <w:rPr>
          <w:rFonts w:cstheme="minorHAnsi"/>
        </w:rPr>
        <w:t xml:space="preserve"> such as</w:t>
      </w:r>
      <w:r w:rsidR="00AE437E">
        <w:rPr>
          <w:rFonts w:cstheme="minorHAnsi"/>
        </w:rPr>
        <w:t>:</w:t>
      </w:r>
      <w:r w:rsidRPr="00D02985">
        <w:rPr>
          <w:rFonts w:cstheme="minorHAnsi"/>
        </w:rPr>
        <w:t xml:space="preserve"> </w:t>
      </w:r>
    </w:p>
    <w:p w14:paraId="77A302C2" w14:textId="77777777" w:rsidR="005C5E13" w:rsidRPr="00D02985" w:rsidRDefault="005C5E13" w:rsidP="007C36E4">
      <w:pPr>
        <w:pStyle w:val="mpcbullets1"/>
        <w:numPr>
          <w:ilvl w:val="0"/>
          <w:numId w:val="0"/>
        </w:numPr>
        <w:rPr>
          <w:rFonts w:cstheme="minorHAnsi"/>
          <w:color w:val="FF0000"/>
        </w:rPr>
      </w:pPr>
    </w:p>
    <w:p w14:paraId="43ADBFCB" w14:textId="77777777" w:rsidR="005C5E13" w:rsidRPr="00D02985" w:rsidRDefault="005C5E13" w:rsidP="00200350">
      <w:pPr>
        <w:pStyle w:val="mpcbullets1"/>
      </w:pPr>
      <w:r w:rsidRPr="00D02985">
        <w:t xml:space="preserve">fraud charges </w:t>
      </w:r>
    </w:p>
    <w:p w14:paraId="7BA39733" w14:textId="77777777" w:rsidR="005C5E13" w:rsidRPr="00D02985" w:rsidRDefault="005C5E13" w:rsidP="00200350">
      <w:pPr>
        <w:pStyle w:val="mpcbullets1"/>
        <w:rPr>
          <w:rFonts w:cstheme="minorHAnsi"/>
        </w:rPr>
      </w:pPr>
      <w:r w:rsidRPr="00D02985">
        <w:rPr>
          <w:rFonts w:cstheme="minorHAnsi"/>
        </w:rPr>
        <w:t xml:space="preserve">elder abuse and matters relevant to the safety, welfare and wellbeing of the elderly </w:t>
      </w:r>
    </w:p>
    <w:p w14:paraId="4DEC722B" w14:textId="558B6BB1" w:rsidR="005C5E13" w:rsidRPr="00D02985" w:rsidRDefault="005C5E13" w:rsidP="00200350">
      <w:pPr>
        <w:pStyle w:val="mpcbullets1"/>
        <w:rPr>
          <w:rFonts w:cstheme="minorHAnsi"/>
        </w:rPr>
      </w:pPr>
      <w:r w:rsidRPr="00D02985">
        <w:rPr>
          <w:rFonts w:cstheme="minorHAnsi"/>
        </w:rPr>
        <w:lastRenderedPageBreak/>
        <w:t>violence</w:t>
      </w:r>
      <w:r w:rsidR="00AE437E">
        <w:rPr>
          <w:rFonts w:cstheme="minorHAnsi"/>
        </w:rPr>
        <w:t xml:space="preserve"> </w:t>
      </w:r>
      <w:r w:rsidRPr="00D02985">
        <w:rPr>
          <w:rFonts w:cstheme="minorHAnsi"/>
        </w:rPr>
        <w:t xml:space="preserve">related offences </w:t>
      </w:r>
    </w:p>
    <w:p w14:paraId="02E4B22B" w14:textId="0637652D" w:rsidR="005C5E13" w:rsidRPr="00D02985" w:rsidRDefault="005C5E13" w:rsidP="00200350">
      <w:pPr>
        <w:pStyle w:val="mpcbullets1"/>
        <w:rPr>
          <w:rFonts w:cstheme="minorHAnsi"/>
        </w:rPr>
      </w:pPr>
      <w:r w:rsidRPr="00D02985">
        <w:rPr>
          <w:rFonts w:cstheme="minorHAnsi"/>
        </w:rPr>
        <w:t>property and tax</w:t>
      </w:r>
      <w:r w:rsidR="00AE437E">
        <w:rPr>
          <w:rFonts w:cstheme="minorHAnsi"/>
        </w:rPr>
        <w:t xml:space="preserve"> </w:t>
      </w:r>
      <w:r w:rsidRPr="00D02985">
        <w:rPr>
          <w:rFonts w:cstheme="minorHAnsi"/>
        </w:rPr>
        <w:t>related offences</w:t>
      </w:r>
    </w:p>
    <w:p w14:paraId="1A93C73B" w14:textId="77777777" w:rsidR="005C5E13" w:rsidRPr="00D02985" w:rsidRDefault="005C5E13" w:rsidP="00200350">
      <w:pPr>
        <w:pStyle w:val="mpcbullets1"/>
        <w:rPr>
          <w:rFonts w:cstheme="minorHAnsi"/>
        </w:rPr>
      </w:pPr>
      <w:r w:rsidRPr="00D02985">
        <w:rPr>
          <w:rFonts w:cstheme="minorHAnsi"/>
        </w:rPr>
        <w:t>neglect related offences and matters against vulnerable people</w:t>
      </w:r>
    </w:p>
    <w:p w14:paraId="324EF156" w14:textId="77777777" w:rsidR="005C5E13" w:rsidRPr="00D02985" w:rsidRDefault="005C5E13" w:rsidP="00200350">
      <w:pPr>
        <w:pStyle w:val="mpcbullets1"/>
        <w:rPr>
          <w:rFonts w:cstheme="minorHAnsi"/>
        </w:rPr>
      </w:pPr>
      <w:r w:rsidRPr="00D02985">
        <w:rPr>
          <w:rFonts w:cstheme="minorHAnsi"/>
        </w:rPr>
        <w:t>drug and alcohol related offences</w:t>
      </w:r>
    </w:p>
    <w:p w14:paraId="198D44FD" w14:textId="21411FF8" w:rsidR="005C5E13" w:rsidRPr="00D02985" w:rsidRDefault="005C5E13" w:rsidP="00200350">
      <w:pPr>
        <w:pStyle w:val="mpcbullets1"/>
        <w:rPr>
          <w:rFonts w:cstheme="minorHAnsi"/>
        </w:rPr>
      </w:pPr>
      <w:r w:rsidRPr="00D02985">
        <w:rPr>
          <w:rFonts w:cstheme="minorHAnsi"/>
        </w:rPr>
        <w:t xml:space="preserve">listing on sexual offenders and child protection registers </w:t>
      </w:r>
    </w:p>
    <w:p w14:paraId="5B9C6218" w14:textId="77777777" w:rsidR="005C5E13" w:rsidRPr="00D02985" w:rsidRDefault="005C5E13" w:rsidP="00200350">
      <w:pPr>
        <w:pStyle w:val="mpcbullets1"/>
        <w:rPr>
          <w:rFonts w:cstheme="minorHAnsi"/>
        </w:rPr>
      </w:pPr>
      <w:r w:rsidRPr="00D02985">
        <w:rPr>
          <w:rFonts w:cstheme="minorHAnsi"/>
        </w:rPr>
        <w:t xml:space="preserve">family law matters, family violence orders and child protection matters. </w:t>
      </w:r>
    </w:p>
    <w:p w14:paraId="196C17CD" w14:textId="77777777" w:rsidR="005C5E13" w:rsidRPr="00D02985" w:rsidRDefault="005C5E13" w:rsidP="007C36E4">
      <w:pPr>
        <w:rPr>
          <w:rFonts w:cstheme="minorHAnsi"/>
        </w:rPr>
      </w:pPr>
    </w:p>
    <w:p w14:paraId="62D9C838" w14:textId="0105FB33" w:rsidR="005C5E13" w:rsidRPr="00D02985" w:rsidRDefault="005C5E13" w:rsidP="007C36E4">
      <w:pPr>
        <w:rPr>
          <w:rFonts w:cstheme="minorHAnsi"/>
        </w:rPr>
      </w:pPr>
      <w:r w:rsidRPr="00625BFE">
        <w:rPr>
          <w:rFonts w:cstheme="minorHAnsi"/>
        </w:rPr>
        <w:t xml:space="preserve">Stakeholders </w:t>
      </w:r>
      <w:r w:rsidR="00625BFE" w:rsidRPr="00625BFE">
        <w:rPr>
          <w:rFonts w:cstheme="minorHAnsi"/>
        </w:rPr>
        <w:t>also queried</w:t>
      </w:r>
      <w:r w:rsidRPr="00625BFE">
        <w:rPr>
          <w:rFonts w:cstheme="minorHAnsi"/>
        </w:rPr>
        <w:t xml:space="preserve"> whether spent convictions, pending charges, historical charges (e.g. convictions 5-10 years ago) or international convictions should be included.</w:t>
      </w:r>
      <w:r w:rsidRPr="00D02985">
        <w:rPr>
          <w:rFonts w:cstheme="minorHAnsi"/>
        </w:rPr>
        <w:t xml:space="preserve"> </w:t>
      </w:r>
    </w:p>
    <w:p w14:paraId="57E307C0" w14:textId="77777777" w:rsidR="005C5E13" w:rsidRPr="00D02985" w:rsidRDefault="005C5E13" w:rsidP="007C36E4">
      <w:pPr>
        <w:rPr>
          <w:rFonts w:cstheme="minorHAnsi"/>
        </w:rPr>
      </w:pPr>
    </w:p>
    <w:p w14:paraId="3BAD30CF" w14:textId="0D508D37" w:rsidR="005C5E13" w:rsidRPr="00D02985" w:rsidRDefault="005C5E13" w:rsidP="007C36E4">
      <w:pPr>
        <w:rPr>
          <w:rFonts w:cstheme="minorHAnsi"/>
        </w:rPr>
      </w:pPr>
      <w:r w:rsidRPr="00D02985">
        <w:rPr>
          <w:rFonts w:cstheme="minorHAnsi"/>
        </w:rPr>
        <w:t xml:space="preserve">In addition, some stakeholders suggested that the following matters be captured, and risk assessed: </w:t>
      </w:r>
    </w:p>
    <w:p w14:paraId="7E3649CA" w14:textId="77777777" w:rsidR="005C5E13" w:rsidRPr="00D02985" w:rsidRDefault="005C5E13" w:rsidP="007C36E4">
      <w:pPr>
        <w:rPr>
          <w:rFonts w:cstheme="minorHAnsi"/>
        </w:rPr>
      </w:pPr>
    </w:p>
    <w:p w14:paraId="03B9CD5D" w14:textId="72F63210" w:rsidR="005C5E13" w:rsidRPr="00D02985" w:rsidRDefault="005C5E13" w:rsidP="00200350">
      <w:pPr>
        <w:pStyle w:val="mpcbullets1"/>
      </w:pPr>
      <w:r w:rsidRPr="00D02985">
        <w:t xml:space="preserve">prohibitions from other industries </w:t>
      </w:r>
      <w:r w:rsidR="000C191B">
        <w:t>(</w:t>
      </w:r>
      <w:r w:rsidRPr="00D02985">
        <w:t>e.g. NDIS banning orders</w:t>
      </w:r>
      <w:r w:rsidR="000C191B">
        <w:t>)</w:t>
      </w:r>
      <w:r w:rsidRPr="00D02985">
        <w:t xml:space="preserve"> </w:t>
      </w:r>
    </w:p>
    <w:p w14:paraId="715CA899" w14:textId="6882CA5B" w:rsidR="005C5E13" w:rsidRPr="00D02985" w:rsidRDefault="005C5E13" w:rsidP="00200350">
      <w:pPr>
        <w:pStyle w:val="mpcbullets1"/>
      </w:pPr>
      <w:r w:rsidRPr="00D02985">
        <w:t xml:space="preserve">information sourced from the compulsory reporting/upcoming SIRS about the conduct of aged care workers in relation to reportable conduct </w:t>
      </w:r>
    </w:p>
    <w:p w14:paraId="0ABCF809" w14:textId="77777777" w:rsidR="005C5E13" w:rsidRPr="00D02985" w:rsidRDefault="005C5E13" w:rsidP="00200350">
      <w:pPr>
        <w:pStyle w:val="mpcbullets1"/>
      </w:pPr>
      <w:r w:rsidRPr="00D02985">
        <w:t>history of worker’s compensation claims or Fair Work matters</w:t>
      </w:r>
    </w:p>
    <w:p w14:paraId="0E842DE4" w14:textId="77777777" w:rsidR="005C5E13" w:rsidRPr="00D02985" w:rsidRDefault="005C5E13" w:rsidP="00200350">
      <w:pPr>
        <w:pStyle w:val="mpcbullets1"/>
      </w:pPr>
      <w:r w:rsidRPr="00D02985">
        <w:t>mental health concerns including Community Treatment Orders</w:t>
      </w:r>
    </w:p>
    <w:p w14:paraId="7FE13547" w14:textId="77777777" w:rsidR="005C5E13" w:rsidRPr="00D02985" w:rsidRDefault="005C5E13" w:rsidP="00200350">
      <w:pPr>
        <w:pStyle w:val="mpcbullets1"/>
      </w:pPr>
      <w:r w:rsidRPr="00D02985">
        <w:t>de-registration from other professions or registration schemes including the National Scheme</w:t>
      </w:r>
    </w:p>
    <w:p w14:paraId="7DC5E07F" w14:textId="77777777" w:rsidR="005C5E13" w:rsidRPr="00D02985" w:rsidRDefault="005C5E13" w:rsidP="00200350">
      <w:pPr>
        <w:pStyle w:val="mpcbullets1"/>
      </w:pPr>
      <w:r w:rsidRPr="00D02985">
        <w:t>any denied Working with Children or Vulnerable People Check applications.</w:t>
      </w:r>
    </w:p>
    <w:p w14:paraId="2CD2EC6C" w14:textId="0A56F5A9" w:rsidR="00511E5B" w:rsidRDefault="00511E5B" w:rsidP="007C36E4">
      <w:pPr>
        <w:pStyle w:val="mpcbullets1"/>
        <w:numPr>
          <w:ilvl w:val="0"/>
          <w:numId w:val="0"/>
        </w:numPr>
      </w:pPr>
    </w:p>
    <w:p w14:paraId="451B03D3" w14:textId="4B173E28" w:rsidR="007F4429" w:rsidRDefault="007F4429" w:rsidP="007C36E4">
      <w:pPr>
        <w:pStyle w:val="mpcbullets1"/>
        <w:numPr>
          <w:ilvl w:val="0"/>
          <w:numId w:val="0"/>
        </w:numPr>
      </w:pPr>
      <w:r>
        <w:rPr>
          <w:rFonts w:cstheme="minorHAnsi"/>
        </w:rPr>
        <w:t>Despite the wide range of offences and matters for assessment noted in submissions, most s</w:t>
      </w:r>
      <w:r w:rsidRPr="00D02985">
        <w:rPr>
          <w:rFonts w:cstheme="minorHAnsi"/>
        </w:rPr>
        <w:t xml:space="preserve">takeholders felt strongly about building on existing </w:t>
      </w:r>
      <w:r>
        <w:rPr>
          <w:rFonts w:cstheme="minorHAnsi"/>
        </w:rPr>
        <w:t xml:space="preserve">worker </w:t>
      </w:r>
      <w:r w:rsidRPr="00D02985">
        <w:rPr>
          <w:rFonts w:cstheme="minorHAnsi"/>
        </w:rPr>
        <w:t>screening infrastructure through the NDIS model,</w:t>
      </w:r>
      <w:r>
        <w:rPr>
          <w:rFonts w:cstheme="minorHAnsi"/>
        </w:rPr>
        <w:t xml:space="preserve"> which would mean adopting the tiered approach to screening detailed below.</w:t>
      </w:r>
    </w:p>
    <w:p w14:paraId="4B6A8947" w14:textId="77777777" w:rsidR="00ED63D6" w:rsidRDefault="00ED63D6" w:rsidP="007C36E4">
      <w:pPr>
        <w:pStyle w:val="mpcbullets1"/>
        <w:numPr>
          <w:ilvl w:val="0"/>
          <w:numId w:val="0"/>
        </w:numPr>
      </w:pPr>
    </w:p>
    <w:p w14:paraId="17C8BAC8" w14:textId="77777777" w:rsidR="00424DA9" w:rsidRPr="00D02985" w:rsidRDefault="00424DA9" w:rsidP="007C36E4">
      <w:pPr>
        <w:pStyle w:val="mpcbullets1"/>
        <w:numPr>
          <w:ilvl w:val="0"/>
          <w:numId w:val="0"/>
        </w:numPr>
        <w:rPr>
          <w:rFonts w:cstheme="minorHAnsi"/>
          <w:b/>
          <w:bCs/>
        </w:rPr>
      </w:pPr>
      <w:r w:rsidRPr="00D02985">
        <w:rPr>
          <w:rFonts w:cstheme="minorHAnsi"/>
          <w:b/>
          <w:bCs/>
        </w:rPr>
        <w:t xml:space="preserve">Information sources </w:t>
      </w:r>
    </w:p>
    <w:p w14:paraId="0AB242C8" w14:textId="77777777" w:rsidR="00424DA9" w:rsidRPr="00D02985" w:rsidRDefault="00424DA9" w:rsidP="007C36E4">
      <w:pPr>
        <w:pStyle w:val="mpcbullets1"/>
        <w:numPr>
          <w:ilvl w:val="0"/>
          <w:numId w:val="0"/>
        </w:numPr>
        <w:rPr>
          <w:rFonts w:cstheme="minorHAnsi"/>
        </w:rPr>
      </w:pPr>
    </w:p>
    <w:p w14:paraId="73B8A801" w14:textId="77777777" w:rsidR="00424DA9" w:rsidRPr="00D02985" w:rsidRDefault="00424DA9" w:rsidP="007C36E4">
      <w:pPr>
        <w:pBdr>
          <w:top w:val="single" w:sz="4" w:space="1" w:color="auto"/>
          <w:left w:val="single" w:sz="4" w:space="4" w:color="auto"/>
          <w:bottom w:val="single" w:sz="4" w:space="1" w:color="auto"/>
          <w:right w:val="single" w:sz="4" w:space="4" w:color="auto"/>
        </w:pBdr>
        <w:shd w:val="clear" w:color="auto" w:fill="F2F2F2" w:themeFill="background1" w:themeFillShade="F2"/>
        <w:rPr>
          <w:rFonts w:cstheme="minorHAnsi"/>
        </w:rPr>
      </w:pPr>
      <w:r w:rsidRPr="00D02985">
        <w:rPr>
          <w:rFonts w:cstheme="minorHAnsi"/>
        </w:rPr>
        <w:t>When asked to identify what additional information should be assessed, of the stakeholders responding to online consultation:</w:t>
      </w:r>
    </w:p>
    <w:p w14:paraId="0E1214CB" w14:textId="77777777" w:rsidR="00424DA9" w:rsidRPr="00D02985" w:rsidRDefault="00424DA9" w:rsidP="007C36E4">
      <w:pPr>
        <w:pBdr>
          <w:top w:val="single" w:sz="4" w:space="1" w:color="auto"/>
          <w:left w:val="single" w:sz="4" w:space="4" w:color="auto"/>
          <w:bottom w:val="single" w:sz="4" w:space="1" w:color="auto"/>
          <w:right w:val="single" w:sz="4" w:space="4" w:color="auto"/>
        </w:pBdr>
        <w:shd w:val="clear" w:color="auto" w:fill="F2F2F2" w:themeFill="background1" w:themeFillShade="F2"/>
        <w:rPr>
          <w:rFonts w:cstheme="minorHAnsi"/>
        </w:rPr>
      </w:pPr>
    </w:p>
    <w:p w14:paraId="66B46EE9" w14:textId="77777777" w:rsidR="00424DA9" w:rsidRPr="00D02985" w:rsidRDefault="00424DA9" w:rsidP="007C36E4">
      <w:pPr>
        <w:pStyle w:val="mpcbullets1"/>
        <w:pBdr>
          <w:top w:val="single" w:sz="4" w:space="1" w:color="auto"/>
          <w:left w:val="single" w:sz="4" w:space="4" w:color="auto"/>
          <w:bottom w:val="single" w:sz="4" w:space="1" w:color="auto"/>
          <w:right w:val="single" w:sz="4" w:space="4" w:color="auto"/>
        </w:pBdr>
        <w:shd w:val="clear" w:color="auto" w:fill="F2F2F2" w:themeFill="background1" w:themeFillShade="F2"/>
        <w:rPr>
          <w:rFonts w:cstheme="minorHAnsi"/>
        </w:rPr>
      </w:pPr>
      <w:r w:rsidRPr="00D02985">
        <w:rPr>
          <w:rFonts w:cstheme="minorHAnsi"/>
        </w:rPr>
        <w:t>75% selected Option 1, ‘Information from disciplinary bodies such as health complaints bodies, the NDIS Commission and National Boards’ including any adverse findings made in relation to an individual, where the finding is relevant to their suitability to provide aged care</w:t>
      </w:r>
    </w:p>
    <w:p w14:paraId="56012537" w14:textId="77777777" w:rsidR="00226746" w:rsidRPr="00D02985" w:rsidRDefault="00226746" w:rsidP="00226746">
      <w:pPr>
        <w:pStyle w:val="mpcbullets1"/>
        <w:pBdr>
          <w:top w:val="single" w:sz="4" w:space="1" w:color="auto"/>
          <w:left w:val="single" w:sz="4" w:space="4" w:color="auto"/>
          <w:bottom w:val="single" w:sz="4" w:space="1" w:color="auto"/>
          <w:right w:val="single" w:sz="4" w:space="4" w:color="auto"/>
        </w:pBdr>
        <w:shd w:val="clear" w:color="auto" w:fill="F2F2F2" w:themeFill="background1" w:themeFillShade="F2"/>
        <w:contextualSpacing/>
        <w:rPr>
          <w:rFonts w:cstheme="minorHAnsi"/>
        </w:rPr>
      </w:pPr>
      <w:r w:rsidRPr="00D02985">
        <w:rPr>
          <w:rFonts w:cstheme="minorHAnsi"/>
        </w:rPr>
        <w:t>55% selected Option 2, ‘Information from relevant government agencies’, for example, child protection information and information about suspicions or allegations of reportable assaults</w:t>
      </w:r>
    </w:p>
    <w:p w14:paraId="57904DAF" w14:textId="0E24223F" w:rsidR="00226746" w:rsidRPr="00226746" w:rsidRDefault="00226746" w:rsidP="00226746">
      <w:pPr>
        <w:pStyle w:val="mpcbullets1"/>
        <w:pBdr>
          <w:top w:val="single" w:sz="4" w:space="1" w:color="auto"/>
          <w:left w:val="single" w:sz="4" w:space="4" w:color="auto"/>
          <w:bottom w:val="single" w:sz="4" w:space="1" w:color="auto"/>
          <w:right w:val="single" w:sz="4" w:space="4" w:color="auto"/>
        </w:pBdr>
        <w:shd w:val="clear" w:color="auto" w:fill="F2F2F2" w:themeFill="background1" w:themeFillShade="F2"/>
        <w:contextualSpacing/>
        <w:rPr>
          <w:rFonts w:cstheme="minorHAnsi"/>
        </w:rPr>
      </w:pPr>
      <w:r w:rsidRPr="00D02985">
        <w:rPr>
          <w:rFonts w:cstheme="minorHAnsi"/>
        </w:rPr>
        <w:t xml:space="preserve">56% selected Option 3, ‘Information from courts and tribunals’ </w:t>
      </w:r>
    </w:p>
    <w:p w14:paraId="330FBF35" w14:textId="2DBD7077" w:rsidR="00424DA9" w:rsidRPr="00D02985" w:rsidRDefault="00424DA9" w:rsidP="007C36E4">
      <w:pPr>
        <w:pStyle w:val="mpcbullets1"/>
        <w:pBdr>
          <w:top w:val="single" w:sz="4" w:space="1" w:color="auto"/>
          <w:left w:val="single" w:sz="4" w:space="4" w:color="auto"/>
          <w:bottom w:val="single" w:sz="4" w:space="1" w:color="auto"/>
          <w:right w:val="single" w:sz="4" w:space="4" w:color="auto"/>
        </w:pBdr>
        <w:shd w:val="clear" w:color="auto" w:fill="F2F2F2" w:themeFill="background1" w:themeFillShade="F2"/>
        <w:contextualSpacing/>
        <w:rPr>
          <w:rFonts w:cstheme="minorHAnsi"/>
        </w:rPr>
      </w:pPr>
      <w:r w:rsidRPr="00D02985">
        <w:rPr>
          <w:rFonts w:cstheme="minorHAnsi"/>
        </w:rPr>
        <w:t>58% selected Option 4, ‘Information from employers’</w:t>
      </w:r>
    </w:p>
    <w:p w14:paraId="73287CCB" w14:textId="77777777" w:rsidR="00424DA9" w:rsidRPr="00D02985" w:rsidRDefault="00424DA9" w:rsidP="007C36E4">
      <w:pPr>
        <w:pStyle w:val="mpcbullets1"/>
        <w:pBdr>
          <w:top w:val="single" w:sz="4" w:space="1" w:color="auto"/>
          <w:left w:val="single" w:sz="4" w:space="4" w:color="auto"/>
          <w:bottom w:val="single" w:sz="4" w:space="1" w:color="auto"/>
          <w:right w:val="single" w:sz="4" w:space="4" w:color="auto"/>
        </w:pBdr>
        <w:shd w:val="clear" w:color="auto" w:fill="F2F2F2" w:themeFill="background1" w:themeFillShade="F2"/>
        <w:contextualSpacing/>
        <w:rPr>
          <w:rFonts w:cstheme="minorHAnsi"/>
        </w:rPr>
      </w:pPr>
      <w:r w:rsidRPr="00D02985">
        <w:rPr>
          <w:rFonts w:cstheme="minorHAnsi"/>
        </w:rPr>
        <w:t>16% did not answer.</w:t>
      </w:r>
    </w:p>
    <w:p w14:paraId="7348722D" w14:textId="77777777" w:rsidR="00424DA9" w:rsidRPr="00D02985" w:rsidRDefault="00424DA9" w:rsidP="007C36E4">
      <w:pPr>
        <w:pStyle w:val="mpcbullets1"/>
        <w:numPr>
          <w:ilvl w:val="0"/>
          <w:numId w:val="0"/>
        </w:numPr>
        <w:rPr>
          <w:rFonts w:cstheme="minorHAnsi"/>
        </w:rPr>
      </w:pPr>
    </w:p>
    <w:p w14:paraId="3D51210F" w14:textId="37535534" w:rsidR="00424DA9" w:rsidRPr="00D02985" w:rsidRDefault="00424DA9" w:rsidP="007C36E4">
      <w:pPr>
        <w:pStyle w:val="mpcbullets1"/>
        <w:numPr>
          <w:ilvl w:val="0"/>
          <w:numId w:val="0"/>
        </w:numPr>
        <w:rPr>
          <w:rFonts w:cstheme="minorHAnsi"/>
        </w:rPr>
      </w:pPr>
      <w:r>
        <w:rPr>
          <w:rFonts w:cstheme="minorHAnsi"/>
        </w:rPr>
        <w:t>For this question, s</w:t>
      </w:r>
      <w:r w:rsidRPr="00D02985">
        <w:rPr>
          <w:rFonts w:cstheme="minorHAnsi"/>
        </w:rPr>
        <w:t>takeholders were able to select one or more of the</w:t>
      </w:r>
      <w:r>
        <w:rPr>
          <w:rFonts w:cstheme="minorHAnsi"/>
        </w:rPr>
        <w:t xml:space="preserve"> </w:t>
      </w:r>
      <w:r w:rsidRPr="00D02985">
        <w:rPr>
          <w:rFonts w:cstheme="minorHAnsi"/>
        </w:rPr>
        <w:t>options. The</w:t>
      </w:r>
      <w:r>
        <w:rPr>
          <w:rFonts w:cstheme="minorHAnsi"/>
        </w:rPr>
        <w:t xml:space="preserve"> percentages above </w:t>
      </w:r>
      <w:r w:rsidR="00ED63D6">
        <w:rPr>
          <w:rFonts w:cstheme="minorHAnsi"/>
        </w:rPr>
        <w:t xml:space="preserve">(in combination with written comments) </w:t>
      </w:r>
      <w:r w:rsidRPr="00D02985">
        <w:rPr>
          <w:rFonts w:cstheme="minorHAnsi"/>
        </w:rPr>
        <w:t>reflect</w:t>
      </w:r>
      <w:r w:rsidR="00ED63D6">
        <w:rPr>
          <w:rFonts w:cstheme="minorHAnsi"/>
        </w:rPr>
        <w:t>ed</w:t>
      </w:r>
      <w:r w:rsidRPr="00D02985">
        <w:rPr>
          <w:rFonts w:cstheme="minorHAnsi"/>
        </w:rPr>
        <w:t xml:space="preserve"> a strong desire by stakeholders </w:t>
      </w:r>
      <w:r>
        <w:rPr>
          <w:rFonts w:cstheme="minorHAnsi"/>
        </w:rPr>
        <w:t>for a range of</w:t>
      </w:r>
      <w:r w:rsidRPr="00D02985">
        <w:rPr>
          <w:rFonts w:cstheme="minorHAnsi"/>
        </w:rPr>
        <w:t xml:space="preserve"> information </w:t>
      </w:r>
      <w:r>
        <w:rPr>
          <w:rFonts w:cstheme="minorHAnsi"/>
        </w:rPr>
        <w:t>to be included in the</w:t>
      </w:r>
      <w:r w:rsidRPr="00D02985">
        <w:rPr>
          <w:rFonts w:cstheme="minorHAnsi"/>
        </w:rPr>
        <w:t xml:space="preserve"> assessment of workers </w:t>
      </w:r>
      <w:r>
        <w:rPr>
          <w:rFonts w:cstheme="minorHAnsi"/>
        </w:rPr>
        <w:t xml:space="preserve">to support a </w:t>
      </w:r>
      <w:r w:rsidRPr="00D02985">
        <w:rPr>
          <w:rFonts w:cstheme="minorHAnsi"/>
        </w:rPr>
        <w:t xml:space="preserve">comprehensive risk assessment and </w:t>
      </w:r>
      <w:r>
        <w:rPr>
          <w:rFonts w:cstheme="minorHAnsi"/>
        </w:rPr>
        <w:t>ensure</w:t>
      </w:r>
      <w:r w:rsidRPr="00D02985">
        <w:rPr>
          <w:rFonts w:cstheme="minorHAnsi"/>
        </w:rPr>
        <w:t xml:space="preserve"> key information about a worker’s suitability</w:t>
      </w:r>
      <w:r>
        <w:rPr>
          <w:rFonts w:cstheme="minorHAnsi"/>
        </w:rPr>
        <w:t xml:space="preserve"> is not missed</w:t>
      </w:r>
      <w:r w:rsidRPr="00D02985">
        <w:rPr>
          <w:rFonts w:cstheme="minorHAnsi"/>
        </w:rPr>
        <w:t>. In the interests of ensuring timely assessments, stakeholders</w:t>
      </w:r>
      <w:r>
        <w:rPr>
          <w:rFonts w:cstheme="minorHAnsi"/>
        </w:rPr>
        <w:t xml:space="preserve"> felt that</w:t>
      </w:r>
      <w:r w:rsidRPr="00D02985">
        <w:rPr>
          <w:rFonts w:cstheme="minorHAnsi"/>
        </w:rPr>
        <w:t xml:space="preserve"> information sourced through Options 1 and 4</w:t>
      </w:r>
      <w:r>
        <w:rPr>
          <w:rFonts w:cstheme="minorHAnsi"/>
        </w:rPr>
        <w:t xml:space="preserve"> should be prioritised</w:t>
      </w:r>
      <w:r w:rsidRPr="00D02985">
        <w:rPr>
          <w:rFonts w:cstheme="minorHAnsi"/>
        </w:rPr>
        <w:t xml:space="preserve">, noting that </w:t>
      </w:r>
      <w:r>
        <w:rPr>
          <w:rFonts w:cstheme="minorHAnsi"/>
        </w:rPr>
        <w:t>information from the other sources</w:t>
      </w:r>
      <w:r w:rsidRPr="00D02985">
        <w:rPr>
          <w:rFonts w:cstheme="minorHAnsi"/>
        </w:rPr>
        <w:t xml:space="preserve"> would take longer to process and access, thereby potentially delaying screening outcomes. </w:t>
      </w:r>
    </w:p>
    <w:p w14:paraId="6C6E07E6" w14:textId="77777777" w:rsidR="00424DA9" w:rsidRPr="00D02985" w:rsidRDefault="00424DA9" w:rsidP="007C36E4">
      <w:pPr>
        <w:pStyle w:val="mpcNormal"/>
        <w:spacing w:after="0"/>
        <w:rPr>
          <w:rFonts w:cstheme="minorHAnsi"/>
        </w:rPr>
      </w:pPr>
    </w:p>
    <w:p w14:paraId="5431FF62" w14:textId="1631138A" w:rsidR="00424DA9" w:rsidRPr="00D02985" w:rsidRDefault="003D25D6" w:rsidP="007C36E4">
      <w:pPr>
        <w:pStyle w:val="mpcbullets1"/>
        <w:numPr>
          <w:ilvl w:val="0"/>
          <w:numId w:val="0"/>
        </w:numPr>
        <w:rPr>
          <w:rFonts w:cstheme="minorHAnsi"/>
        </w:rPr>
      </w:pPr>
      <w:r>
        <w:rPr>
          <w:rFonts w:cstheme="minorHAnsi"/>
        </w:rPr>
        <w:t>Responses indicated that s</w:t>
      </w:r>
      <w:r w:rsidR="00424DA9" w:rsidRPr="00D02985">
        <w:rPr>
          <w:rFonts w:cstheme="minorHAnsi"/>
        </w:rPr>
        <w:t>takeholders were inclined to include employer decisions or disciplinary matters in the assessment criteria (Option 4)</w:t>
      </w:r>
      <w:r>
        <w:rPr>
          <w:rFonts w:cstheme="minorHAnsi"/>
        </w:rPr>
        <w:t>. H</w:t>
      </w:r>
      <w:r w:rsidR="00424DA9" w:rsidRPr="00D02985">
        <w:rPr>
          <w:rFonts w:cstheme="minorHAnsi"/>
        </w:rPr>
        <w:t>owever</w:t>
      </w:r>
      <w:r>
        <w:rPr>
          <w:rFonts w:cstheme="minorHAnsi"/>
        </w:rPr>
        <w:t>,</w:t>
      </w:r>
      <w:r w:rsidR="00424DA9" w:rsidRPr="00D02985">
        <w:rPr>
          <w:rFonts w:cstheme="minorHAnsi"/>
        </w:rPr>
        <w:t xml:space="preserve"> stakeholders acknowledged that there may </w:t>
      </w:r>
      <w:r w:rsidR="00424DA9" w:rsidRPr="00D02985">
        <w:rPr>
          <w:rFonts w:cstheme="minorHAnsi"/>
        </w:rPr>
        <w:lastRenderedPageBreak/>
        <w:t xml:space="preserve">be </w:t>
      </w:r>
      <w:r w:rsidR="00FD270A">
        <w:rPr>
          <w:rFonts w:cstheme="minorHAnsi"/>
        </w:rPr>
        <w:t>fewer</w:t>
      </w:r>
      <w:r w:rsidR="00FD270A" w:rsidRPr="00D02985">
        <w:rPr>
          <w:rFonts w:cstheme="minorHAnsi"/>
        </w:rPr>
        <w:t xml:space="preserve"> </w:t>
      </w:r>
      <w:r w:rsidR="00424DA9" w:rsidRPr="00D02985">
        <w:rPr>
          <w:rFonts w:cstheme="minorHAnsi"/>
        </w:rPr>
        <w:t xml:space="preserve">consistent procedural fairness avenues for workers at the </w:t>
      </w:r>
      <w:r>
        <w:rPr>
          <w:rFonts w:cstheme="minorHAnsi"/>
        </w:rPr>
        <w:t>employ</w:t>
      </w:r>
      <w:r w:rsidR="00424DA9" w:rsidRPr="00D02985">
        <w:rPr>
          <w:rFonts w:cstheme="minorHAnsi"/>
        </w:rPr>
        <w:t xml:space="preserve">er-level and that if </w:t>
      </w:r>
      <w:r>
        <w:rPr>
          <w:rFonts w:cstheme="minorHAnsi"/>
        </w:rPr>
        <w:t>this information</w:t>
      </w:r>
      <w:r w:rsidR="00424DA9" w:rsidRPr="00D02985">
        <w:rPr>
          <w:rFonts w:cstheme="minorHAnsi"/>
        </w:rPr>
        <w:t xml:space="preserve"> were to be included, fairness</w:t>
      </w:r>
      <w:r>
        <w:rPr>
          <w:rFonts w:cstheme="minorHAnsi"/>
        </w:rPr>
        <w:t xml:space="preserve"> measures would be needed</w:t>
      </w:r>
      <w:r w:rsidR="00424DA9" w:rsidRPr="00D02985">
        <w:rPr>
          <w:rFonts w:cstheme="minorHAnsi"/>
        </w:rPr>
        <w:t xml:space="preserve"> prior to factoring any adverse decisions in to an assessment. </w:t>
      </w:r>
    </w:p>
    <w:p w14:paraId="1D1F441F" w14:textId="77777777" w:rsidR="00424DA9" w:rsidRPr="00D02985" w:rsidRDefault="00424DA9" w:rsidP="007C36E4">
      <w:pPr>
        <w:pStyle w:val="mpcbullets1"/>
        <w:numPr>
          <w:ilvl w:val="0"/>
          <w:numId w:val="0"/>
        </w:numPr>
        <w:rPr>
          <w:rFonts w:cstheme="minorHAnsi"/>
        </w:rPr>
      </w:pPr>
    </w:p>
    <w:p w14:paraId="538513DB" w14:textId="5471218D" w:rsidR="00424DA9" w:rsidRPr="00D02985" w:rsidRDefault="00ED63D6" w:rsidP="007C36E4">
      <w:pPr>
        <w:pStyle w:val="mpcbullets1"/>
        <w:numPr>
          <w:ilvl w:val="0"/>
          <w:numId w:val="0"/>
        </w:numPr>
        <w:rPr>
          <w:rFonts w:cstheme="minorHAnsi"/>
        </w:rPr>
      </w:pPr>
      <w:r>
        <w:rPr>
          <w:rFonts w:cstheme="minorHAnsi"/>
        </w:rPr>
        <w:t xml:space="preserve">A number of stakeholders </w:t>
      </w:r>
      <w:r w:rsidR="00424DA9" w:rsidRPr="00D02985">
        <w:rPr>
          <w:rFonts w:cstheme="minorHAnsi"/>
        </w:rPr>
        <w:t>recommend</w:t>
      </w:r>
      <w:r>
        <w:rPr>
          <w:rFonts w:cstheme="minorHAnsi"/>
        </w:rPr>
        <w:t>ed</w:t>
      </w:r>
      <w:r w:rsidR="00424DA9" w:rsidRPr="00D02985">
        <w:rPr>
          <w:rFonts w:cstheme="minorHAnsi"/>
        </w:rPr>
        <w:t xml:space="preserve"> a new provider responsibility that required employers to disclose certain matters to the relevant oversight body to ensure misconduct or concerns about competency were reported and fed into the centralised assessment. Stakeholders identified that this would address a current gap where workers who either resigned or were terminated as a consequence of misconduct </w:t>
      </w:r>
      <w:r>
        <w:rPr>
          <w:rFonts w:cstheme="minorHAnsi"/>
        </w:rPr>
        <w:t>could</w:t>
      </w:r>
      <w:r w:rsidR="00424DA9" w:rsidRPr="00D02985">
        <w:rPr>
          <w:rFonts w:cstheme="minorHAnsi"/>
        </w:rPr>
        <w:t xml:space="preserve"> find employment with another provider despite their potential unsuitability. </w:t>
      </w:r>
    </w:p>
    <w:p w14:paraId="2951ABE0" w14:textId="77777777" w:rsidR="00EC7C75" w:rsidRPr="00D02985" w:rsidRDefault="00EC7C75" w:rsidP="007C36E4">
      <w:pPr>
        <w:pStyle w:val="mpcbullets1"/>
        <w:numPr>
          <w:ilvl w:val="0"/>
          <w:numId w:val="0"/>
        </w:numPr>
        <w:rPr>
          <w:rFonts w:cstheme="minorHAnsi"/>
        </w:rPr>
      </w:pPr>
    </w:p>
    <w:p w14:paraId="3D3B80B3" w14:textId="45D2B62E" w:rsidR="00EC7C75" w:rsidRPr="00D02985" w:rsidRDefault="007F4429" w:rsidP="007C36E4">
      <w:pPr>
        <w:pStyle w:val="mpcbullets1"/>
        <w:numPr>
          <w:ilvl w:val="0"/>
          <w:numId w:val="0"/>
        </w:numPr>
        <w:rPr>
          <w:rFonts w:cstheme="minorHAnsi"/>
          <w:b/>
          <w:bCs/>
        </w:rPr>
      </w:pPr>
      <w:r>
        <w:rPr>
          <w:rFonts w:cstheme="minorHAnsi"/>
          <w:b/>
          <w:bCs/>
        </w:rPr>
        <w:t>Drawing on existing s</w:t>
      </w:r>
      <w:r w:rsidR="00EC7C75" w:rsidRPr="00D02985">
        <w:rPr>
          <w:rFonts w:cstheme="minorHAnsi"/>
          <w:b/>
          <w:bCs/>
        </w:rPr>
        <w:t xml:space="preserve">creening models </w:t>
      </w:r>
    </w:p>
    <w:p w14:paraId="2EC52214" w14:textId="77777777" w:rsidR="00EC7C75" w:rsidRPr="00D02985" w:rsidRDefault="00EC7C75" w:rsidP="007C36E4">
      <w:pPr>
        <w:pStyle w:val="mpcbullets1"/>
        <w:numPr>
          <w:ilvl w:val="0"/>
          <w:numId w:val="0"/>
        </w:numPr>
        <w:rPr>
          <w:rFonts w:cstheme="minorHAnsi"/>
        </w:rPr>
      </w:pPr>
    </w:p>
    <w:p w14:paraId="5BB924F1" w14:textId="65D8EA97" w:rsidR="00EC7C75" w:rsidRPr="006A2F35" w:rsidRDefault="00ED63D6" w:rsidP="007C36E4">
      <w:pPr>
        <w:pStyle w:val="mpcbullets1"/>
        <w:numPr>
          <w:ilvl w:val="0"/>
          <w:numId w:val="0"/>
        </w:numPr>
        <w:rPr>
          <w:rFonts w:cstheme="minorHAnsi"/>
        </w:rPr>
      </w:pPr>
      <w:r>
        <w:rPr>
          <w:rFonts w:cstheme="minorHAnsi"/>
        </w:rPr>
        <w:t>A majority of stakeholders supported drawing on an</w:t>
      </w:r>
      <w:r w:rsidR="00EC7C75" w:rsidRPr="00D02985">
        <w:rPr>
          <w:rFonts w:cstheme="minorHAnsi"/>
        </w:rPr>
        <w:t xml:space="preserve"> </w:t>
      </w:r>
      <w:r w:rsidR="00EC7C75" w:rsidRPr="006A2F35">
        <w:rPr>
          <w:rFonts w:cstheme="minorHAnsi"/>
        </w:rPr>
        <w:t xml:space="preserve">existing centralised screening model, </w:t>
      </w:r>
      <w:r w:rsidRPr="006A2F35">
        <w:rPr>
          <w:rFonts w:cstheme="minorHAnsi"/>
        </w:rPr>
        <w:t xml:space="preserve">with most preferring the </w:t>
      </w:r>
      <w:r w:rsidR="00EC7C75" w:rsidRPr="006A2F35">
        <w:rPr>
          <w:rFonts w:cstheme="minorHAnsi"/>
        </w:rPr>
        <w:t>NDIS model</w:t>
      </w:r>
      <w:r w:rsidRPr="006A2F35">
        <w:rPr>
          <w:rFonts w:cstheme="minorHAnsi"/>
        </w:rPr>
        <w:t xml:space="preserve">, but others also suggesting </w:t>
      </w:r>
      <w:r w:rsidR="00CE26F1" w:rsidRPr="006A2F35">
        <w:rPr>
          <w:rFonts w:cstheme="minorHAnsi"/>
        </w:rPr>
        <w:t xml:space="preserve">that </w:t>
      </w:r>
      <w:r w:rsidR="00EC7C75" w:rsidRPr="006A2F35">
        <w:rPr>
          <w:rFonts w:cstheme="minorHAnsi"/>
        </w:rPr>
        <w:t>the National Scheme model be adopted</w:t>
      </w:r>
      <w:r w:rsidR="006A2F35">
        <w:rPr>
          <w:rFonts w:cstheme="minorHAnsi"/>
        </w:rPr>
        <w:t xml:space="preserve"> and that a similar criminal screening standard should apply</w:t>
      </w:r>
      <w:r w:rsidR="00EC7C75" w:rsidRPr="006A2F35">
        <w:rPr>
          <w:rFonts w:cstheme="minorHAnsi"/>
        </w:rPr>
        <w:t xml:space="preserve">. </w:t>
      </w:r>
    </w:p>
    <w:p w14:paraId="68CB1CEC" w14:textId="77777777" w:rsidR="00EC7C75" w:rsidRPr="006A2F35" w:rsidRDefault="00EC7C75" w:rsidP="007C36E4">
      <w:pPr>
        <w:pStyle w:val="mpcNormal"/>
        <w:spacing w:after="0"/>
        <w:rPr>
          <w:rFonts w:cstheme="minorHAnsi"/>
        </w:rPr>
      </w:pPr>
    </w:p>
    <w:p w14:paraId="6D70089D" w14:textId="691BA485" w:rsidR="00EC7C75" w:rsidRPr="00D02985" w:rsidRDefault="00EC7C75" w:rsidP="007C36E4">
      <w:pPr>
        <w:pStyle w:val="mpcNormal"/>
        <w:spacing w:after="0"/>
        <w:rPr>
          <w:rFonts w:cstheme="minorHAnsi"/>
        </w:rPr>
      </w:pPr>
      <w:r w:rsidRPr="006A2F35">
        <w:rPr>
          <w:rFonts w:cstheme="minorHAnsi"/>
        </w:rPr>
        <w:t>As set out in the Consultation Paper, the NDIS model relies on different tiers</w:t>
      </w:r>
      <w:r w:rsidRPr="00D02985">
        <w:rPr>
          <w:rFonts w:cstheme="minorHAnsi"/>
        </w:rPr>
        <w:t xml:space="preserve"> of offences, with some automatically precluding employment (similar to aged care), and others triggering a risk assessment by the State/Territory WSUs</w:t>
      </w:r>
      <w:r w:rsidRPr="00D02985">
        <w:rPr>
          <w:rStyle w:val="FootnoteReference"/>
          <w:rFonts w:cstheme="minorHAnsi"/>
        </w:rPr>
        <w:footnoteReference w:id="15"/>
      </w:r>
      <w:r w:rsidRPr="00D02985">
        <w:rPr>
          <w:rFonts w:cstheme="minorHAnsi"/>
        </w:rPr>
        <w:t xml:space="preserve">. </w:t>
      </w:r>
    </w:p>
    <w:p w14:paraId="7E075B27" w14:textId="77777777" w:rsidR="00EC7C75" w:rsidRPr="00D02985" w:rsidRDefault="00EC7C75" w:rsidP="007C36E4">
      <w:pPr>
        <w:pStyle w:val="ListParagraph"/>
        <w:rPr>
          <w:rFonts w:cstheme="minorHAnsi"/>
        </w:rPr>
      </w:pPr>
    </w:p>
    <w:p w14:paraId="7B40EB90" w14:textId="77777777" w:rsidR="00EC7C75" w:rsidRPr="00D02985" w:rsidRDefault="00EC7C75" w:rsidP="007C36E4">
      <w:pPr>
        <w:pStyle w:val="mpcbullets1"/>
        <w:numPr>
          <w:ilvl w:val="0"/>
          <w:numId w:val="0"/>
        </w:numPr>
        <w:rPr>
          <w:rFonts w:cstheme="minorHAnsi"/>
        </w:rPr>
      </w:pPr>
      <w:r w:rsidRPr="00D02985">
        <w:rPr>
          <w:rFonts w:cstheme="minorHAnsi"/>
        </w:rPr>
        <w:t>The risk assessments are designed to identify whether there is ‘an unacceptable future risk’ to NDIS participants in light of the worker’s criminal history and/or other relevant information. The risk assessment takes into account matters such as:</w:t>
      </w:r>
    </w:p>
    <w:p w14:paraId="0499F205" w14:textId="77777777" w:rsidR="00EC7C75" w:rsidRPr="00D02985" w:rsidRDefault="00EC7C75" w:rsidP="007C36E4">
      <w:pPr>
        <w:pStyle w:val="mpcbullets1"/>
        <w:numPr>
          <w:ilvl w:val="0"/>
          <w:numId w:val="0"/>
        </w:numPr>
        <w:rPr>
          <w:rFonts w:cstheme="minorHAnsi"/>
        </w:rPr>
      </w:pPr>
    </w:p>
    <w:p w14:paraId="20E6634A" w14:textId="77777777" w:rsidR="00EC7C75" w:rsidRPr="00D02985" w:rsidRDefault="00EC7C75" w:rsidP="007C36E4">
      <w:pPr>
        <w:pStyle w:val="mpcbullets1"/>
        <w:rPr>
          <w:rFonts w:cstheme="minorHAnsi"/>
        </w:rPr>
      </w:pPr>
      <w:r w:rsidRPr="00D02985">
        <w:rPr>
          <w:rFonts w:cstheme="minorHAnsi"/>
        </w:rPr>
        <w:t>the nature, gravity and circumstances of the criminal history and/or other relevant information</w:t>
      </w:r>
    </w:p>
    <w:p w14:paraId="417BCD92" w14:textId="77777777" w:rsidR="00EC7C75" w:rsidRPr="00D02985" w:rsidRDefault="00EC7C75" w:rsidP="007C36E4">
      <w:pPr>
        <w:pStyle w:val="mpcbullets1"/>
        <w:rPr>
          <w:rFonts w:cstheme="minorHAnsi"/>
        </w:rPr>
      </w:pPr>
      <w:r w:rsidRPr="00D02985">
        <w:rPr>
          <w:rFonts w:cstheme="minorHAnsi"/>
        </w:rPr>
        <w:t>how relevant the criminal history or relevant information is to the work they will undertake</w:t>
      </w:r>
    </w:p>
    <w:p w14:paraId="458A4303" w14:textId="77777777" w:rsidR="00EC7C75" w:rsidRPr="00D02985" w:rsidRDefault="00EC7C75" w:rsidP="007C36E4">
      <w:pPr>
        <w:pStyle w:val="mpcbullets1"/>
        <w:rPr>
          <w:rFonts w:cstheme="minorHAnsi"/>
        </w:rPr>
      </w:pPr>
      <w:r w:rsidRPr="00D02985">
        <w:rPr>
          <w:rFonts w:cstheme="minorHAnsi"/>
        </w:rPr>
        <w:t>the length of time that has passed since the event occurred</w:t>
      </w:r>
    </w:p>
    <w:p w14:paraId="6439B649" w14:textId="77777777" w:rsidR="00EC7C75" w:rsidRPr="00D02985" w:rsidRDefault="00EC7C75" w:rsidP="007C36E4">
      <w:pPr>
        <w:pStyle w:val="mpcbullets1"/>
        <w:rPr>
          <w:rFonts w:cstheme="minorHAnsi"/>
        </w:rPr>
      </w:pPr>
      <w:r w:rsidRPr="00D02985">
        <w:rPr>
          <w:rFonts w:cstheme="minorHAnsi"/>
        </w:rPr>
        <w:t xml:space="preserve">the vulnerability of the victim at the time of the event </w:t>
      </w:r>
    </w:p>
    <w:p w14:paraId="1512F373" w14:textId="77777777" w:rsidR="00EC7C75" w:rsidRPr="00D02985" w:rsidRDefault="00EC7C75" w:rsidP="007C36E4">
      <w:pPr>
        <w:pStyle w:val="mpcbullets1"/>
        <w:rPr>
          <w:rFonts w:cstheme="minorHAnsi"/>
        </w:rPr>
      </w:pPr>
      <w:r w:rsidRPr="00D02985">
        <w:rPr>
          <w:rFonts w:cstheme="minorHAnsi"/>
        </w:rPr>
        <w:t xml:space="preserve">the worker’s relationship to the victim or position of authority over the victim at the time of the event </w:t>
      </w:r>
    </w:p>
    <w:p w14:paraId="13124FF5" w14:textId="77777777" w:rsidR="00EC7C75" w:rsidRPr="00D02985" w:rsidRDefault="00EC7C75" w:rsidP="007C36E4">
      <w:pPr>
        <w:pStyle w:val="mpcbullets1"/>
        <w:rPr>
          <w:rFonts w:cstheme="minorHAnsi"/>
        </w:rPr>
      </w:pPr>
      <w:r w:rsidRPr="00D02985">
        <w:rPr>
          <w:rFonts w:cstheme="minorHAnsi"/>
        </w:rPr>
        <w:t xml:space="preserve">whether the information establishes a pattern of concerning behaviour </w:t>
      </w:r>
    </w:p>
    <w:p w14:paraId="409220ED" w14:textId="77777777" w:rsidR="00EC7C75" w:rsidRPr="00D02985" w:rsidRDefault="00EC7C75" w:rsidP="007C36E4">
      <w:pPr>
        <w:pStyle w:val="mpcbullets1"/>
        <w:rPr>
          <w:rFonts w:cstheme="minorHAnsi"/>
        </w:rPr>
      </w:pPr>
      <w:r w:rsidRPr="00D02985">
        <w:rPr>
          <w:rFonts w:cstheme="minorHAnsi"/>
        </w:rPr>
        <w:t>the worker’s conduct since the event.</w:t>
      </w:r>
    </w:p>
    <w:p w14:paraId="41060368" w14:textId="77777777" w:rsidR="00EC7C75" w:rsidRPr="00D02985" w:rsidRDefault="00EC7C75" w:rsidP="007C36E4">
      <w:pPr>
        <w:pStyle w:val="mpcNormal"/>
        <w:spacing w:after="0"/>
        <w:rPr>
          <w:rFonts w:cstheme="minorHAnsi"/>
        </w:rPr>
      </w:pPr>
    </w:p>
    <w:p w14:paraId="1EBD886C" w14:textId="41050457" w:rsidR="00EC7C75" w:rsidRPr="00D02985" w:rsidRDefault="00EC7C75" w:rsidP="007C36E4">
      <w:pPr>
        <w:pStyle w:val="mpcNormal"/>
        <w:spacing w:after="0"/>
        <w:rPr>
          <w:rFonts w:cstheme="minorHAnsi"/>
        </w:rPr>
      </w:pPr>
      <w:r w:rsidRPr="00D02985">
        <w:rPr>
          <w:rFonts w:cstheme="minorHAnsi"/>
        </w:rPr>
        <w:t>At a high level, WSUs are making assessments beyond criminal history</w:t>
      </w:r>
      <w:r w:rsidR="00A51B69">
        <w:rPr>
          <w:rFonts w:cstheme="minorHAnsi"/>
        </w:rPr>
        <w:t xml:space="preserve"> </w:t>
      </w:r>
      <w:r w:rsidR="00A51B69" w:rsidRPr="00D02985">
        <w:rPr>
          <w:rFonts w:cstheme="minorHAnsi"/>
        </w:rPr>
        <w:t>(in accordance with the principles and terms set out in the Intergovernmental Agreement for Nationally Consistent Worker Screening for the NDIS)</w:t>
      </w:r>
      <w:r w:rsidRPr="00D02985">
        <w:rPr>
          <w:rFonts w:cstheme="minorHAnsi"/>
        </w:rPr>
        <w:t xml:space="preserve"> to take into account:</w:t>
      </w:r>
    </w:p>
    <w:p w14:paraId="68275054" w14:textId="77777777" w:rsidR="00EC7C75" w:rsidRPr="00D02985" w:rsidRDefault="00EC7C75" w:rsidP="007C36E4">
      <w:pPr>
        <w:pStyle w:val="mpcNormal"/>
        <w:spacing w:after="0"/>
        <w:rPr>
          <w:rFonts w:cstheme="minorHAnsi"/>
        </w:rPr>
      </w:pPr>
    </w:p>
    <w:p w14:paraId="47419017" w14:textId="77777777" w:rsidR="00EC7C75" w:rsidRPr="00D02985" w:rsidRDefault="00EC7C75" w:rsidP="007C36E4">
      <w:pPr>
        <w:pStyle w:val="mpcbullets1"/>
        <w:rPr>
          <w:rFonts w:cstheme="minorHAnsi"/>
        </w:rPr>
      </w:pPr>
      <w:r w:rsidRPr="00D02985">
        <w:rPr>
          <w:rFonts w:cstheme="minorHAnsi"/>
        </w:rPr>
        <w:t>civil penalties</w:t>
      </w:r>
    </w:p>
    <w:p w14:paraId="39419993" w14:textId="77777777" w:rsidR="00EC7C75" w:rsidRPr="00D02985" w:rsidRDefault="00EC7C75" w:rsidP="007C36E4">
      <w:pPr>
        <w:pStyle w:val="mpcbullets1"/>
        <w:rPr>
          <w:rFonts w:cstheme="minorHAnsi"/>
        </w:rPr>
      </w:pPr>
      <w:r w:rsidRPr="00D02985">
        <w:rPr>
          <w:rFonts w:cstheme="minorHAnsi"/>
        </w:rPr>
        <w:t xml:space="preserve">child protection orders </w:t>
      </w:r>
    </w:p>
    <w:p w14:paraId="24AD605D" w14:textId="77777777" w:rsidR="00EC7C75" w:rsidRPr="00D02985" w:rsidRDefault="00EC7C75" w:rsidP="007C36E4">
      <w:pPr>
        <w:pStyle w:val="mpcbullets1"/>
        <w:rPr>
          <w:rFonts w:cstheme="minorHAnsi"/>
        </w:rPr>
      </w:pPr>
      <w:r w:rsidRPr="00D02985">
        <w:rPr>
          <w:rFonts w:cstheme="minorHAnsi"/>
        </w:rPr>
        <w:t>information from State-based reportable or notifiable conduct schemes such as State Ombudsman and Complaints Commissions and professional associations</w:t>
      </w:r>
    </w:p>
    <w:p w14:paraId="2A569FF6" w14:textId="77777777" w:rsidR="00EC7C75" w:rsidRPr="00D02985" w:rsidRDefault="00EC7C75" w:rsidP="007C36E4">
      <w:pPr>
        <w:pStyle w:val="mpcbullets1"/>
        <w:rPr>
          <w:rFonts w:cstheme="minorHAnsi"/>
        </w:rPr>
      </w:pPr>
      <w:r w:rsidRPr="00D02985">
        <w:rPr>
          <w:rFonts w:cstheme="minorHAnsi"/>
        </w:rPr>
        <w:t>employer or other professional records/information including professional references</w:t>
      </w:r>
    </w:p>
    <w:p w14:paraId="5843617B" w14:textId="77777777" w:rsidR="00EC7C75" w:rsidRPr="00D02985" w:rsidRDefault="00EC7C75" w:rsidP="007C36E4">
      <w:pPr>
        <w:pStyle w:val="mpcbullets1"/>
        <w:rPr>
          <w:rFonts w:cstheme="minorHAnsi"/>
        </w:rPr>
      </w:pPr>
      <w:r w:rsidRPr="00D02985">
        <w:rPr>
          <w:rFonts w:cstheme="minorHAnsi"/>
        </w:rPr>
        <w:t>court and tribunal records.</w:t>
      </w:r>
    </w:p>
    <w:p w14:paraId="3C47A3B9" w14:textId="77777777" w:rsidR="00EC7C75" w:rsidRPr="00D02985" w:rsidRDefault="00EC7C75" w:rsidP="007C36E4">
      <w:pPr>
        <w:pStyle w:val="mpcNormal"/>
        <w:spacing w:after="0"/>
        <w:rPr>
          <w:rFonts w:cstheme="minorHAnsi"/>
        </w:rPr>
      </w:pPr>
    </w:p>
    <w:p w14:paraId="2360C733" w14:textId="711683A0" w:rsidR="00EC7C75" w:rsidRPr="00D02985" w:rsidRDefault="00EC7C75" w:rsidP="007C36E4">
      <w:pPr>
        <w:pStyle w:val="mpcNormal"/>
        <w:spacing w:after="0"/>
        <w:rPr>
          <w:rFonts w:cstheme="minorHAnsi"/>
        </w:rPr>
      </w:pPr>
      <w:r w:rsidRPr="00D02985">
        <w:rPr>
          <w:rFonts w:cstheme="minorHAnsi"/>
        </w:rPr>
        <w:lastRenderedPageBreak/>
        <w:t>A similar assessment framework could be adopted for aged care, or</w:t>
      </w:r>
      <w:r w:rsidR="00CB424E">
        <w:rPr>
          <w:rFonts w:cstheme="minorHAnsi"/>
        </w:rPr>
        <w:t xml:space="preserve"> aged care worker screening could be</w:t>
      </w:r>
      <w:r w:rsidRPr="00D02985">
        <w:rPr>
          <w:rFonts w:cstheme="minorHAnsi"/>
        </w:rPr>
        <w:t xml:space="preserve"> </w:t>
      </w:r>
      <w:r w:rsidR="00CB424E">
        <w:rPr>
          <w:rFonts w:cstheme="minorHAnsi"/>
        </w:rPr>
        <w:t>integrated</w:t>
      </w:r>
      <w:r w:rsidRPr="00D02985">
        <w:rPr>
          <w:rFonts w:cstheme="minorHAnsi"/>
        </w:rPr>
        <w:t xml:space="preserve"> with the operations of the WSUs for the purposes of the NDIS model, noting a clear similarity between the </w:t>
      </w:r>
      <w:r w:rsidR="009362CD">
        <w:rPr>
          <w:rFonts w:cstheme="minorHAnsi"/>
        </w:rPr>
        <w:t xml:space="preserve">intent of the schemes and the kinds of </w:t>
      </w:r>
      <w:r w:rsidRPr="00D02985">
        <w:rPr>
          <w:rFonts w:cstheme="minorHAnsi"/>
        </w:rPr>
        <w:t xml:space="preserve">matters stakeholders suggested should be risk assessed. </w:t>
      </w:r>
    </w:p>
    <w:p w14:paraId="52C6C4F2" w14:textId="77777777" w:rsidR="00EC7C75" w:rsidRPr="00D02985" w:rsidRDefault="00EC7C75" w:rsidP="007C36E4">
      <w:pPr>
        <w:pStyle w:val="mpcNormal"/>
        <w:spacing w:after="0"/>
        <w:rPr>
          <w:rFonts w:cstheme="minorHAnsi"/>
        </w:rPr>
      </w:pPr>
    </w:p>
    <w:p w14:paraId="2E7E5474" w14:textId="737A8A1A" w:rsidR="00EC7C75" w:rsidRPr="00D02985" w:rsidRDefault="00885C11" w:rsidP="007C36E4">
      <w:pPr>
        <w:pStyle w:val="mpcNormal"/>
        <w:spacing w:after="0"/>
        <w:rPr>
          <w:rFonts w:cstheme="minorHAnsi"/>
        </w:rPr>
      </w:pPr>
      <w:r>
        <w:rPr>
          <w:rFonts w:cstheme="minorHAnsi"/>
        </w:rPr>
        <w:t>While s</w:t>
      </w:r>
      <w:r w:rsidR="00EC7C75" w:rsidRPr="00D02985">
        <w:rPr>
          <w:rFonts w:cstheme="minorHAnsi"/>
        </w:rPr>
        <w:t>takeholders felt strongly about building on existing screening infrastructure through the NDIS model, particularly in light of the similar work undertaken between aged care and disability services,</w:t>
      </w:r>
      <w:r>
        <w:rPr>
          <w:rFonts w:cstheme="minorHAnsi"/>
        </w:rPr>
        <w:t xml:space="preserve"> concerns noted included</w:t>
      </w:r>
      <w:r w:rsidR="00EC7C75" w:rsidRPr="00D02985">
        <w:rPr>
          <w:rFonts w:cstheme="minorHAnsi"/>
        </w:rPr>
        <w:t xml:space="preserve">: </w:t>
      </w:r>
    </w:p>
    <w:p w14:paraId="3F7AA621" w14:textId="77777777" w:rsidR="00EC7C75" w:rsidRPr="00D02985" w:rsidRDefault="00EC7C75" w:rsidP="007C36E4">
      <w:pPr>
        <w:pStyle w:val="mpcNormal"/>
        <w:spacing w:after="0"/>
        <w:rPr>
          <w:rFonts w:cstheme="minorHAnsi"/>
        </w:rPr>
      </w:pPr>
    </w:p>
    <w:p w14:paraId="5F441E79" w14:textId="5D828521" w:rsidR="00EC7C75" w:rsidRPr="00D02985" w:rsidRDefault="00EC7C75" w:rsidP="007C36E4">
      <w:pPr>
        <w:pStyle w:val="mpcbullets1"/>
        <w:rPr>
          <w:rFonts w:cstheme="minorHAnsi"/>
        </w:rPr>
      </w:pPr>
      <w:r w:rsidRPr="00D02985">
        <w:rPr>
          <w:rFonts w:cstheme="minorHAnsi"/>
        </w:rPr>
        <w:t xml:space="preserve">the aged care workforce is </w:t>
      </w:r>
      <w:r w:rsidR="00976E82">
        <w:rPr>
          <w:rFonts w:cstheme="minorHAnsi"/>
        </w:rPr>
        <w:t>larger</w:t>
      </w:r>
      <w:r w:rsidRPr="00D02985">
        <w:rPr>
          <w:rFonts w:cstheme="minorHAnsi"/>
        </w:rPr>
        <w:t xml:space="preserve"> than the disability workforce, such that there are questions about the capacity of the WSUs to screen aged care workers without either a significant increase </w:t>
      </w:r>
      <w:r w:rsidR="00885C11">
        <w:rPr>
          <w:rFonts w:cstheme="minorHAnsi"/>
        </w:rPr>
        <w:t>in</w:t>
      </w:r>
      <w:r w:rsidRPr="00D02985">
        <w:rPr>
          <w:rFonts w:cstheme="minorHAnsi"/>
        </w:rPr>
        <w:t xml:space="preserve"> resourcing or the establishment of a national screening body specifically for aged care </w:t>
      </w:r>
    </w:p>
    <w:p w14:paraId="5351E3AB" w14:textId="2758EA2A" w:rsidR="00EC7C75" w:rsidRPr="00D02985" w:rsidRDefault="00EC7C75" w:rsidP="007C36E4">
      <w:pPr>
        <w:pStyle w:val="mpcbullets1"/>
        <w:rPr>
          <w:rFonts w:cstheme="minorHAnsi"/>
        </w:rPr>
      </w:pPr>
      <w:r w:rsidRPr="00D02985">
        <w:rPr>
          <w:rFonts w:cstheme="minorHAnsi"/>
        </w:rPr>
        <w:t>the NDIS model is still in its early stages and has yet to be tested as the best model for national worker screening.</w:t>
      </w:r>
    </w:p>
    <w:p w14:paraId="0797FD8D" w14:textId="77777777" w:rsidR="00EC7C75" w:rsidRPr="00D02985" w:rsidRDefault="00EC7C75" w:rsidP="007C36E4">
      <w:pPr>
        <w:pStyle w:val="mpcbullets1"/>
        <w:numPr>
          <w:ilvl w:val="0"/>
          <w:numId w:val="0"/>
        </w:numPr>
        <w:rPr>
          <w:rFonts w:cstheme="minorHAnsi"/>
        </w:rPr>
      </w:pPr>
    </w:p>
    <w:p w14:paraId="6CE6C94F" w14:textId="0EB361B8" w:rsidR="00EC7C75" w:rsidRPr="00D02985" w:rsidRDefault="00EC7C75" w:rsidP="007C36E4">
      <w:pPr>
        <w:pStyle w:val="mpcNormal"/>
        <w:spacing w:after="0"/>
        <w:rPr>
          <w:rFonts w:cstheme="minorHAnsi"/>
        </w:rPr>
      </w:pPr>
      <w:r w:rsidRPr="00D02985">
        <w:rPr>
          <w:rFonts w:cstheme="minorHAnsi"/>
        </w:rPr>
        <w:t xml:space="preserve">Other stakeholders suggested that a centralised assessment should have similar principles-based considerations as the National Scheme’s criminal registration standard and include the same inputs into the criminal history standard (for example, international convictions and spent convictions). </w:t>
      </w:r>
    </w:p>
    <w:p w14:paraId="6CC5D9A7" w14:textId="77777777" w:rsidR="00EC7C75" w:rsidRPr="00D02985" w:rsidRDefault="00EC7C75" w:rsidP="007C36E4">
      <w:pPr>
        <w:pStyle w:val="mpcNormal"/>
        <w:spacing w:after="0"/>
        <w:rPr>
          <w:rFonts w:cstheme="minorHAnsi"/>
        </w:rPr>
      </w:pPr>
    </w:p>
    <w:p w14:paraId="7D3BC28B" w14:textId="77777777" w:rsidR="00EC7C75" w:rsidRPr="00D02985" w:rsidRDefault="00EC7C75" w:rsidP="007C36E4">
      <w:pPr>
        <w:pStyle w:val="mpcNormal"/>
        <w:spacing w:after="0"/>
        <w:rPr>
          <w:rFonts w:cstheme="minorHAnsi"/>
        </w:rPr>
      </w:pPr>
      <w:r w:rsidRPr="00D02985">
        <w:rPr>
          <w:rFonts w:cstheme="minorHAnsi"/>
        </w:rPr>
        <w:t xml:space="preserve">In the National Scheme context, the national boards undertake an initial police check for registration applicants and examine the results of the police checks, taking into account factors similar to the NDIS risk assessment (e.g. nature and gravity of the offence, time since the offence etc.). However, the national boards rely on worker declarations at the time of registration renewals and any police checks submitted to the national board following the initial application. </w:t>
      </w:r>
    </w:p>
    <w:p w14:paraId="78A33778" w14:textId="77777777" w:rsidR="00EC7C75" w:rsidRPr="00D02985" w:rsidRDefault="00EC7C75" w:rsidP="007C36E4">
      <w:pPr>
        <w:pStyle w:val="mpcNormal"/>
        <w:spacing w:after="0"/>
        <w:rPr>
          <w:rFonts w:cstheme="minorHAnsi"/>
        </w:rPr>
      </w:pPr>
    </w:p>
    <w:p w14:paraId="2893E2DE" w14:textId="38F5487C" w:rsidR="00EC7C75" w:rsidRPr="00D02985" w:rsidRDefault="00CE26F1" w:rsidP="007C36E4">
      <w:pPr>
        <w:pStyle w:val="mpcNormal"/>
        <w:spacing w:after="0"/>
        <w:rPr>
          <w:rFonts w:cstheme="minorHAnsi"/>
        </w:rPr>
      </w:pPr>
      <w:r>
        <w:rPr>
          <w:rFonts w:cstheme="minorHAnsi"/>
        </w:rPr>
        <w:t>By</w:t>
      </w:r>
      <w:r w:rsidR="00EC7C75" w:rsidRPr="00D02985">
        <w:rPr>
          <w:rFonts w:cstheme="minorHAnsi"/>
        </w:rPr>
        <w:t xml:space="preserve"> contrast, the NDIS model conducts an initial risk assessment but receives real time data that informs ongoing monitoring of a worker’s risk assessment. In light of </w:t>
      </w:r>
      <w:r w:rsidR="00206149">
        <w:rPr>
          <w:rFonts w:cstheme="minorHAnsi"/>
        </w:rPr>
        <w:t>strong</w:t>
      </w:r>
      <w:r w:rsidR="00EC7C75" w:rsidRPr="00D02985">
        <w:rPr>
          <w:rFonts w:cstheme="minorHAnsi"/>
        </w:rPr>
        <w:t xml:space="preserve"> stakeholder feedback that worker screening should be conducted more regularly and thoroughly, adopting the same process as the National Scheme </w:t>
      </w:r>
      <w:r>
        <w:rPr>
          <w:rFonts w:cstheme="minorHAnsi"/>
        </w:rPr>
        <w:t xml:space="preserve">is less </w:t>
      </w:r>
      <w:r w:rsidR="00EC7C75" w:rsidRPr="00D02985">
        <w:rPr>
          <w:rFonts w:cstheme="minorHAnsi"/>
        </w:rPr>
        <w:t>align</w:t>
      </w:r>
      <w:r>
        <w:rPr>
          <w:rFonts w:cstheme="minorHAnsi"/>
        </w:rPr>
        <w:t>ed</w:t>
      </w:r>
      <w:r w:rsidR="00EC7C75" w:rsidRPr="00D02985">
        <w:rPr>
          <w:rFonts w:cstheme="minorHAnsi"/>
        </w:rPr>
        <w:t xml:space="preserve"> with the expectations of stakeholders. </w:t>
      </w:r>
    </w:p>
    <w:p w14:paraId="34FF818A" w14:textId="77777777" w:rsidR="00EC7C75" w:rsidRPr="00D02985" w:rsidRDefault="00EC7C75" w:rsidP="007C36E4">
      <w:pPr>
        <w:pStyle w:val="mpcNormal"/>
        <w:spacing w:after="0"/>
        <w:rPr>
          <w:rFonts w:cstheme="minorHAnsi"/>
        </w:rPr>
      </w:pPr>
    </w:p>
    <w:p w14:paraId="4919675F" w14:textId="772599EA" w:rsidR="00EC7C75" w:rsidRPr="00D02985" w:rsidRDefault="00EC7C75" w:rsidP="007C36E4">
      <w:pPr>
        <w:pStyle w:val="mpcNormal"/>
        <w:spacing w:after="0"/>
        <w:rPr>
          <w:rFonts w:cstheme="minorHAnsi"/>
        </w:rPr>
      </w:pPr>
      <w:r w:rsidRPr="00D02985">
        <w:rPr>
          <w:rFonts w:cstheme="minorHAnsi"/>
        </w:rPr>
        <w:t xml:space="preserve">Stakeholders </w:t>
      </w:r>
      <w:r w:rsidR="00206149">
        <w:rPr>
          <w:rFonts w:cstheme="minorHAnsi"/>
        </w:rPr>
        <w:t>also</w:t>
      </w:r>
      <w:r w:rsidRPr="00D02985">
        <w:rPr>
          <w:rFonts w:cstheme="minorHAnsi"/>
        </w:rPr>
        <w:t xml:space="preserve"> note</w:t>
      </w:r>
      <w:r w:rsidR="00206149">
        <w:rPr>
          <w:rFonts w:cstheme="minorHAnsi"/>
        </w:rPr>
        <w:t>d</w:t>
      </w:r>
      <w:r w:rsidRPr="00D02985">
        <w:rPr>
          <w:rFonts w:cstheme="minorHAnsi"/>
        </w:rPr>
        <w:t xml:space="preserve"> that if another model were to be adopted, as a matter of principle, aged care workers should not be subject to stricter criminal/risk assessments than those used for registered health practitioners, and that clearance decisions should set an appropriate bar such that employers need not have to conduct their own assessments in addition to the clearances. </w:t>
      </w:r>
    </w:p>
    <w:p w14:paraId="6E9F71FD" w14:textId="77777777" w:rsidR="00EC7C75" w:rsidRPr="00D02985" w:rsidRDefault="00EC7C75" w:rsidP="007C36E4">
      <w:pPr>
        <w:pStyle w:val="mpcNormal"/>
        <w:spacing w:after="0"/>
        <w:rPr>
          <w:rFonts w:cstheme="minorHAnsi"/>
        </w:rPr>
      </w:pPr>
    </w:p>
    <w:p w14:paraId="75E4E5E0" w14:textId="77777777" w:rsidR="00EC7C75" w:rsidRPr="00D02985" w:rsidRDefault="00EC7C75" w:rsidP="00984F11">
      <w:pPr>
        <w:pStyle w:val="mpcheading4"/>
        <w:keepNext/>
        <w:spacing w:after="0"/>
        <w:rPr>
          <w:rFonts w:cstheme="minorHAnsi"/>
        </w:rPr>
      </w:pPr>
      <w:bookmarkStart w:id="35" w:name="_Toc45807952"/>
      <w:bookmarkStart w:id="36" w:name="_Toc49253242"/>
      <w:r w:rsidRPr="00D02985">
        <w:rPr>
          <w:rFonts w:cstheme="minorHAnsi"/>
        </w:rPr>
        <w:t>Design and implementation considerations</w:t>
      </w:r>
      <w:bookmarkEnd w:id="35"/>
      <w:bookmarkEnd w:id="36"/>
    </w:p>
    <w:p w14:paraId="6953C306" w14:textId="77777777" w:rsidR="00EC7C75" w:rsidRDefault="00EC7C75" w:rsidP="00984F11">
      <w:pPr>
        <w:pStyle w:val="mpcNormal"/>
        <w:keepNext/>
        <w:spacing w:after="0"/>
        <w:rPr>
          <w:rFonts w:cstheme="minorHAnsi"/>
        </w:rPr>
      </w:pPr>
    </w:p>
    <w:p w14:paraId="4D6DB8BC" w14:textId="51C0E81A" w:rsidR="00EC7C75" w:rsidRPr="00D02985" w:rsidRDefault="00EC7C75" w:rsidP="00984F11">
      <w:pPr>
        <w:pStyle w:val="mpcNormal"/>
        <w:keepNext/>
        <w:spacing w:after="0"/>
        <w:rPr>
          <w:rFonts w:cstheme="minorHAnsi"/>
        </w:rPr>
      </w:pPr>
      <w:r w:rsidRPr="00D02985">
        <w:rPr>
          <w:rFonts w:cstheme="minorHAnsi"/>
        </w:rPr>
        <w:t xml:space="preserve">As part of the implementation of centralised screening, </w:t>
      </w:r>
      <w:r w:rsidR="009832E7">
        <w:rPr>
          <w:rFonts w:cstheme="minorHAnsi"/>
        </w:rPr>
        <w:t xml:space="preserve">stakeholders noted that </w:t>
      </w:r>
      <w:r w:rsidRPr="00D02985">
        <w:rPr>
          <w:rFonts w:cstheme="minorHAnsi"/>
        </w:rPr>
        <w:t>the following matters w</w:t>
      </w:r>
      <w:r w:rsidR="009832E7">
        <w:rPr>
          <w:rFonts w:cstheme="minorHAnsi"/>
        </w:rPr>
        <w:t>ould</w:t>
      </w:r>
      <w:r w:rsidRPr="00D02985">
        <w:rPr>
          <w:rFonts w:cstheme="minorHAnsi"/>
        </w:rPr>
        <w:t xml:space="preserve"> need to be determined: </w:t>
      </w:r>
    </w:p>
    <w:p w14:paraId="0554F24C" w14:textId="77777777" w:rsidR="00EC7C75" w:rsidRPr="00D02985" w:rsidRDefault="00EC7C75" w:rsidP="007C36E4">
      <w:pPr>
        <w:pStyle w:val="mpcNormal"/>
        <w:spacing w:after="0"/>
        <w:rPr>
          <w:rFonts w:cstheme="minorHAnsi"/>
        </w:rPr>
      </w:pPr>
    </w:p>
    <w:p w14:paraId="406EB519" w14:textId="66F9C168" w:rsidR="009832E7" w:rsidRPr="00D02985" w:rsidRDefault="009832E7" w:rsidP="007C36E4">
      <w:pPr>
        <w:pStyle w:val="mpcbullets1"/>
        <w:rPr>
          <w:rFonts w:cstheme="minorHAnsi"/>
        </w:rPr>
      </w:pPr>
      <w:r w:rsidRPr="00D02985">
        <w:rPr>
          <w:rFonts w:cstheme="minorHAnsi"/>
        </w:rPr>
        <w:t xml:space="preserve">who will undertake </w:t>
      </w:r>
      <w:r w:rsidR="009B4A66">
        <w:rPr>
          <w:rFonts w:cstheme="minorHAnsi"/>
        </w:rPr>
        <w:t xml:space="preserve">the </w:t>
      </w:r>
      <w:r>
        <w:rPr>
          <w:rFonts w:cstheme="minorHAnsi"/>
        </w:rPr>
        <w:t>criminal history check and risk</w:t>
      </w:r>
      <w:r w:rsidRPr="00D02985">
        <w:rPr>
          <w:rFonts w:cstheme="minorHAnsi"/>
        </w:rPr>
        <w:t xml:space="preserve"> assessment</w:t>
      </w:r>
      <w:r>
        <w:rPr>
          <w:rFonts w:cstheme="minorHAnsi"/>
        </w:rPr>
        <w:t>s (i.e. the features of worker screening)</w:t>
      </w:r>
      <w:r w:rsidRPr="00D02985">
        <w:rPr>
          <w:rFonts w:cstheme="minorHAnsi"/>
        </w:rPr>
        <w:t xml:space="preserve"> </w:t>
      </w:r>
    </w:p>
    <w:p w14:paraId="6843D531" w14:textId="3A82ADFA" w:rsidR="009832E7" w:rsidRDefault="009832E7" w:rsidP="007C36E4">
      <w:pPr>
        <w:pStyle w:val="mpcbullets1"/>
        <w:rPr>
          <w:rFonts w:cstheme="minorHAnsi"/>
        </w:rPr>
      </w:pPr>
      <w:r w:rsidRPr="00D02985">
        <w:rPr>
          <w:rFonts w:cstheme="minorHAnsi"/>
        </w:rPr>
        <w:t xml:space="preserve">how </w:t>
      </w:r>
      <w:r>
        <w:rPr>
          <w:rFonts w:cstheme="minorHAnsi"/>
        </w:rPr>
        <w:t xml:space="preserve">screening </w:t>
      </w:r>
      <w:r w:rsidRPr="00D02985">
        <w:rPr>
          <w:rFonts w:cstheme="minorHAnsi"/>
        </w:rPr>
        <w:t>information will be gathered</w:t>
      </w:r>
      <w:r>
        <w:rPr>
          <w:rFonts w:cstheme="minorHAnsi"/>
        </w:rPr>
        <w:t xml:space="preserve"> </w:t>
      </w:r>
      <w:r w:rsidRPr="00D02985">
        <w:rPr>
          <w:rFonts w:cstheme="minorHAnsi"/>
        </w:rPr>
        <w:t>(e.g. through legislative responsibilities, changes to information sharing frameworks, integration of data)</w:t>
      </w:r>
      <w:r>
        <w:rPr>
          <w:rFonts w:cstheme="minorHAnsi"/>
        </w:rPr>
        <w:t xml:space="preserve"> and the privacy and confidentiality implications</w:t>
      </w:r>
    </w:p>
    <w:p w14:paraId="4259308E" w14:textId="342569C5" w:rsidR="00F27301" w:rsidRPr="00D02985" w:rsidRDefault="003415CC" w:rsidP="007C36E4">
      <w:pPr>
        <w:pStyle w:val="mpcbullets1"/>
        <w:rPr>
          <w:rFonts w:cstheme="minorHAnsi"/>
        </w:rPr>
      </w:pPr>
      <w:r>
        <w:rPr>
          <w:rFonts w:cstheme="minorHAnsi"/>
        </w:rPr>
        <w:t xml:space="preserve">how </w:t>
      </w:r>
      <w:r w:rsidR="00506B38">
        <w:rPr>
          <w:rFonts w:cstheme="minorHAnsi"/>
        </w:rPr>
        <w:t xml:space="preserve">worker </w:t>
      </w:r>
      <w:r>
        <w:rPr>
          <w:rFonts w:cstheme="minorHAnsi"/>
        </w:rPr>
        <w:t>screening obligations</w:t>
      </w:r>
      <w:r w:rsidR="00F27301">
        <w:rPr>
          <w:rFonts w:cstheme="minorHAnsi"/>
        </w:rPr>
        <w:t xml:space="preserve"> </w:t>
      </w:r>
      <w:r>
        <w:rPr>
          <w:rFonts w:cstheme="minorHAnsi"/>
        </w:rPr>
        <w:t>could be achieved in legislation</w:t>
      </w:r>
      <w:r w:rsidR="00506B38">
        <w:rPr>
          <w:rFonts w:cstheme="minorHAnsi"/>
        </w:rPr>
        <w:t xml:space="preserve"> (and if this obligation would be an extension of the provider responsibilities or if it could be imposed o</w:t>
      </w:r>
      <w:r w:rsidR="000D6125">
        <w:rPr>
          <w:rFonts w:cstheme="minorHAnsi"/>
        </w:rPr>
        <w:t>n</w:t>
      </w:r>
      <w:r w:rsidR="00506B38">
        <w:rPr>
          <w:rFonts w:cstheme="minorHAnsi"/>
        </w:rPr>
        <w:t xml:space="preserve"> individual worker</w:t>
      </w:r>
      <w:r w:rsidR="000D6125">
        <w:rPr>
          <w:rFonts w:cstheme="minorHAnsi"/>
        </w:rPr>
        <w:t>s</w:t>
      </w:r>
      <w:r w:rsidR="00506B38">
        <w:rPr>
          <w:rFonts w:cstheme="minorHAnsi"/>
        </w:rPr>
        <w:t>)</w:t>
      </w:r>
    </w:p>
    <w:p w14:paraId="00D7F49C" w14:textId="7BD2E8D7" w:rsidR="009832E7" w:rsidRDefault="009832E7" w:rsidP="007C36E4">
      <w:pPr>
        <w:pStyle w:val="mpcbullets1"/>
        <w:rPr>
          <w:rFonts w:cstheme="minorHAnsi"/>
        </w:rPr>
      </w:pPr>
      <w:r w:rsidRPr="00D02985">
        <w:rPr>
          <w:rFonts w:cstheme="minorHAnsi"/>
        </w:rPr>
        <w:lastRenderedPageBreak/>
        <w:t xml:space="preserve">the considerations or principles used to assess the circumstances of a worker and how </w:t>
      </w:r>
      <w:r>
        <w:rPr>
          <w:rFonts w:cstheme="minorHAnsi"/>
        </w:rPr>
        <w:t>the assessment should</w:t>
      </w:r>
      <w:r w:rsidRPr="00D02985">
        <w:rPr>
          <w:rFonts w:cstheme="minorHAnsi"/>
        </w:rPr>
        <w:t xml:space="preserve"> impact a worker’s suitability to enter and remain in the aged care sector</w:t>
      </w:r>
      <w:r>
        <w:rPr>
          <w:rFonts w:cstheme="minorHAnsi"/>
        </w:rPr>
        <w:t xml:space="preserve"> (i.e. the relative consequences of an assessment)</w:t>
      </w:r>
      <w:r w:rsidRPr="00D02985">
        <w:rPr>
          <w:rFonts w:cstheme="minorHAnsi"/>
        </w:rPr>
        <w:t xml:space="preserve"> </w:t>
      </w:r>
    </w:p>
    <w:p w14:paraId="789111F1" w14:textId="00CDABCC" w:rsidR="00EC7C75" w:rsidRPr="00D02985" w:rsidRDefault="00EC7C75" w:rsidP="007C36E4">
      <w:pPr>
        <w:pStyle w:val="mpcbullets1"/>
        <w:rPr>
          <w:rFonts w:cstheme="minorHAnsi"/>
        </w:rPr>
      </w:pPr>
      <w:r w:rsidRPr="00D02985">
        <w:rPr>
          <w:rFonts w:cstheme="minorHAnsi"/>
        </w:rPr>
        <w:t xml:space="preserve">the weight </w:t>
      </w:r>
      <w:r w:rsidR="009832E7">
        <w:rPr>
          <w:rFonts w:cstheme="minorHAnsi"/>
        </w:rPr>
        <w:t>to be given to a particular</w:t>
      </w:r>
      <w:r w:rsidRPr="00D02985">
        <w:rPr>
          <w:rFonts w:cstheme="minorHAnsi"/>
        </w:rPr>
        <w:t xml:space="preserve"> matter and whether matters </w:t>
      </w:r>
      <w:r w:rsidR="009832E7">
        <w:rPr>
          <w:rFonts w:cstheme="minorHAnsi"/>
        </w:rPr>
        <w:t xml:space="preserve">will be given more </w:t>
      </w:r>
      <w:r w:rsidRPr="00D02985">
        <w:rPr>
          <w:rFonts w:cstheme="minorHAnsi"/>
        </w:rPr>
        <w:t>weight</w:t>
      </w:r>
      <w:r w:rsidR="009832E7">
        <w:rPr>
          <w:rFonts w:cstheme="minorHAnsi"/>
        </w:rPr>
        <w:t xml:space="preserve"> depending on the type of the worker</w:t>
      </w:r>
      <w:r w:rsidRPr="00D02985">
        <w:rPr>
          <w:rFonts w:cstheme="minorHAnsi"/>
        </w:rPr>
        <w:t xml:space="preserve"> </w:t>
      </w:r>
      <w:r w:rsidR="009832E7">
        <w:rPr>
          <w:rFonts w:cstheme="minorHAnsi"/>
        </w:rPr>
        <w:t>(e.g.</w:t>
      </w:r>
      <w:r w:rsidRPr="00D02985">
        <w:rPr>
          <w:rFonts w:cstheme="minorHAnsi"/>
        </w:rPr>
        <w:t xml:space="preserve"> if the assessment is of a PCW as opposed to auxiliary staff) </w:t>
      </w:r>
    </w:p>
    <w:p w14:paraId="34DF5CFA" w14:textId="77777777" w:rsidR="00EC7C75" w:rsidRPr="00D02985" w:rsidRDefault="00EC7C75" w:rsidP="007C36E4">
      <w:pPr>
        <w:pStyle w:val="mpcbullets1"/>
        <w:rPr>
          <w:rFonts w:cstheme="minorHAnsi"/>
        </w:rPr>
      </w:pPr>
      <w:r w:rsidRPr="00D02985">
        <w:rPr>
          <w:rFonts w:cstheme="minorHAnsi"/>
        </w:rPr>
        <w:t xml:space="preserve">what appeal rights and procedural fairness mechanisms will be available </w:t>
      </w:r>
    </w:p>
    <w:p w14:paraId="77FEA1AF" w14:textId="167DAC8B" w:rsidR="00EC7C75" w:rsidRDefault="00EC7C75" w:rsidP="007C36E4">
      <w:pPr>
        <w:pStyle w:val="mpcbullets1"/>
        <w:rPr>
          <w:rFonts w:cstheme="minorHAnsi"/>
        </w:rPr>
      </w:pPr>
      <w:r w:rsidRPr="00D02985">
        <w:rPr>
          <w:rFonts w:cstheme="minorHAnsi"/>
        </w:rPr>
        <w:t>whether to draw on existing screening models and the</w:t>
      </w:r>
      <w:r w:rsidR="00A67095">
        <w:rPr>
          <w:rFonts w:cstheme="minorHAnsi"/>
        </w:rPr>
        <w:t xml:space="preserve"> operational</w:t>
      </w:r>
      <w:r w:rsidRPr="00D02985">
        <w:rPr>
          <w:rFonts w:cstheme="minorHAnsi"/>
        </w:rPr>
        <w:t xml:space="preserve"> implications of doing so. </w:t>
      </w:r>
    </w:p>
    <w:p w14:paraId="05B26BCF" w14:textId="77777777" w:rsidR="009B4A66" w:rsidRDefault="009B4A66" w:rsidP="009B4A66">
      <w:pPr>
        <w:pStyle w:val="mpcbullets1"/>
        <w:numPr>
          <w:ilvl w:val="0"/>
          <w:numId w:val="0"/>
        </w:numPr>
        <w:ind w:left="360" w:hanging="360"/>
        <w:rPr>
          <w:rFonts w:cstheme="minorHAnsi"/>
        </w:rPr>
      </w:pPr>
    </w:p>
    <w:p w14:paraId="6E510A57" w14:textId="4CF1032E" w:rsidR="009B4A66" w:rsidRPr="00D02985" w:rsidRDefault="009B4A66" w:rsidP="009B4A66">
      <w:pPr>
        <w:pStyle w:val="mpcbullets1"/>
        <w:numPr>
          <w:ilvl w:val="0"/>
          <w:numId w:val="0"/>
        </w:numPr>
        <w:ind w:left="360" w:hanging="360"/>
        <w:rPr>
          <w:rFonts w:cstheme="minorHAnsi"/>
        </w:rPr>
      </w:pPr>
      <w:r>
        <w:rPr>
          <w:rFonts w:cstheme="minorHAnsi"/>
        </w:rPr>
        <w:t>Each of these issues would require further consideration as any model is developed.</w:t>
      </w:r>
    </w:p>
    <w:p w14:paraId="3D55CEE5" w14:textId="77777777" w:rsidR="00EC7C75" w:rsidRPr="00D02985" w:rsidRDefault="00EC7C75" w:rsidP="007C36E4">
      <w:pPr>
        <w:pStyle w:val="mpcNormal"/>
        <w:spacing w:after="0"/>
        <w:rPr>
          <w:rFonts w:cstheme="minorHAnsi"/>
        </w:rPr>
      </w:pPr>
    </w:p>
    <w:p w14:paraId="1FEF083A" w14:textId="77777777" w:rsidR="00EC7C75" w:rsidRPr="00FC498E" w:rsidRDefault="00EC7C75" w:rsidP="007C36E4">
      <w:pPr>
        <w:pStyle w:val="mpcheading2"/>
        <w:shd w:val="clear" w:color="auto" w:fill="auto"/>
        <w:spacing w:after="0"/>
        <w:rPr>
          <w:color w:val="auto"/>
        </w:rPr>
      </w:pPr>
      <w:bookmarkStart w:id="37" w:name="_Toc45807953"/>
      <w:bookmarkStart w:id="38" w:name="_Toc49253243"/>
      <w:r w:rsidRPr="00AC5AD4">
        <w:rPr>
          <w:color w:val="auto"/>
        </w:rPr>
        <w:t>Code of conduct</w:t>
      </w:r>
      <w:bookmarkEnd w:id="37"/>
      <w:bookmarkEnd w:id="38"/>
    </w:p>
    <w:p w14:paraId="3A7ADA39" w14:textId="77777777" w:rsidR="00EC7C75" w:rsidRDefault="00EC7C75" w:rsidP="007C36E4">
      <w:pPr>
        <w:pStyle w:val="mpcbullets1"/>
        <w:numPr>
          <w:ilvl w:val="0"/>
          <w:numId w:val="0"/>
        </w:numPr>
      </w:pPr>
    </w:p>
    <w:p w14:paraId="79E75387" w14:textId="77777777" w:rsidR="00EC7C75" w:rsidRPr="00F767EA" w:rsidRDefault="00EC7C75" w:rsidP="007C36E4">
      <w:pPr>
        <w:pStyle w:val="mpcNormal"/>
        <w:spacing w:after="0"/>
        <w:rPr>
          <w:rFonts w:cstheme="minorHAnsi"/>
        </w:rPr>
      </w:pPr>
      <w:r w:rsidRPr="00F767EA">
        <w:rPr>
          <w:rFonts w:cstheme="minorHAnsi"/>
        </w:rPr>
        <w:t>Most stakeholders noted the need for a code of conduct as a means of measuring expected behaviours, in addition to the existing expectations set by the Aged Care Quality Standards and the Charter of Aged Care Rights.</w:t>
      </w:r>
    </w:p>
    <w:p w14:paraId="3A7C5E33" w14:textId="77777777" w:rsidR="00EC7C75" w:rsidRPr="00F767EA" w:rsidRDefault="00EC7C75" w:rsidP="007C36E4">
      <w:pPr>
        <w:pStyle w:val="mpcNormal"/>
        <w:spacing w:after="0"/>
        <w:rPr>
          <w:rFonts w:cstheme="minorHAnsi"/>
        </w:rPr>
      </w:pPr>
    </w:p>
    <w:p w14:paraId="5036A39E" w14:textId="77777777" w:rsidR="00EC7C75" w:rsidRPr="00F767EA" w:rsidRDefault="00EC7C75" w:rsidP="007C36E4">
      <w:pPr>
        <w:pStyle w:val="mpcNormal"/>
        <w:spacing w:after="0"/>
        <w:rPr>
          <w:rFonts w:cstheme="minorHAnsi"/>
        </w:rPr>
      </w:pPr>
      <w:r w:rsidRPr="00F767EA">
        <w:rPr>
          <w:rFonts w:cstheme="minorHAnsi"/>
        </w:rPr>
        <w:t xml:space="preserve">Noting the various existing codes of conduct used in like sectors, stakeholders were asked which code of conduct they would prefer in the aged care context. </w:t>
      </w:r>
    </w:p>
    <w:p w14:paraId="5B2FBD1D" w14:textId="77777777" w:rsidR="00EC7C75" w:rsidRPr="00F767EA" w:rsidRDefault="00EC7C75" w:rsidP="007C36E4">
      <w:pPr>
        <w:pStyle w:val="mpcNormal"/>
        <w:spacing w:after="0"/>
        <w:rPr>
          <w:rFonts w:cstheme="minorHAnsi"/>
        </w:rPr>
      </w:pPr>
    </w:p>
    <w:p w14:paraId="5176DDC5" w14:textId="77777777" w:rsidR="00EC7C75" w:rsidRPr="00F767EA" w:rsidRDefault="00EC7C75" w:rsidP="007C36E4">
      <w:pPr>
        <w:pStyle w:val="mpcNormal"/>
        <w:pBdr>
          <w:top w:val="single" w:sz="4" w:space="1" w:color="auto"/>
          <w:left w:val="single" w:sz="4" w:space="4" w:color="auto"/>
          <w:bottom w:val="single" w:sz="4" w:space="1" w:color="auto"/>
          <w:right w:val="single" w:sz="4" w:space="4" w:color="auto"/>
        </w:pBdr>
        <w:shd w:val="clear" w:color="auto" w:fill="F2F2F2" w:themeFill="background1" w:themeFillShade="F2"/>
        <w:spacing w:after="0"/>
        <w:rPr>
          <w:rFonts w:cstheme="minorHAnsi"/>
        </w:rPr>
      </w:pPr>
      <w:r w:rsidRPr="00F767EA">
        <w:rPr>
          <w:rFonts w:cstheme="minorHAnsi"/>
        </w:rPr>
        <w:t>Of the stakeholders responding to online consultation:</w:t>
      </w:r>
    </w:p>
    <w:p w14:paraId="5826BF68" w14:textId="77777777" w:rsidR="00EC7C75" w:rsidRPr="00F767EA" w:rsidRDefault="00EC7C75" w:rsidP="007C36E4">
      <w:pPr>
        <w:pBdr>
          <w:top w:val="single" w:sz="4" w:space="1" w:color="auto"/>
          <w:left w:val="single" w:sz="4" w:space="4" w:color="auto"/>
          <w:bottom w:val="single" w:sz="4" w:space="1" w:color="auto"/>
          <w:right w:val="single" w:sz="4" w:space="4" w:color="auto"/>
        </w:pBdr>
        <w:shd w:val="clear" w:color="auto" w:fill="F2F2F2" w:themeFill="background1" w:themeFillShade="F2"/>
        <w:rPr>
          <w:rFonts w:cstheme="minorHAnsi"/>
        </w:rPr>
      </w:pPr>
    </w:p>
    <w:p w14:paraId="24E76956" w14:textId="77777777" w:rsidR="0058678B" w:rsidRPr="00F767EA" w:rsidRDefault="0058678B" w:rsidP="0058678B">
      <w:pPr>
        <w:pStyle w:val="mpcbullets1"/>
        <w:pBdr>
          <w:top w:val="single" w:sz="4" w:space="1" w:color="auto"/>
          <w:left w:val="single" w:sz="4" w:space="4" w:color="auto"/>
          <w:bottom w:val="single" w:sz="4" w:space="1" w:color="auto"/>
          <w:right w:val="single" w:sz="4" w:space="4" w:color="auto"/>
        </w:pBdr>
        <w:shd w:val="clear" w:color="auto" w:fill="F2F2F2" w:themeFill="background1" w:themeFillShade="F2"/>
        <w:contextualSpacing/>
        <w:rPr>
          <w:rFonts w:cstheme="minorHAnsi"/>
        </w:rPr>
      </w:pPr>
      <w:r w:rsidRPr="00F767EA">
        <w:rPr>
          <w:rFonts w:cstheme="minorHAnsi"/>
        </w:rPr>
        <w:t>27% selected Option 1, ‘Retain existing arrangements requiring providers to ensure the conduct of aged care workers is in line with the Aged Care Quality Standards and Charter of Aged Care Rights (status quo)’</w:t>
      </w:r>
    </w:p>
    <w:p w14:paraId="03DF3456" w14:textId="1D975058" w:rsidR="0058678B" w:rsidRPr="0058678B" w:rsidRDefault="0058678B" w:rsidP="0058678B">
      <w:pPr>
        <w:pStyle w:val="mpcbullets1"/>
        <w:pBdr>
          <w:top w:val="single" w:sz="4" w:space="1" w:color="auto"/>
          <w:left w:val="single" w:sz="4" w:space="4" w:color="auto"/>
          <w:bottom w:val="single" w:sz="4" w:space="1" w:color="auto"/>
          <w:right w:val="single" w:sz="4" w:space="4" w:color="auto"/>
        </w:pBdr>
        <w:shd w:val="clear" w:color="auto" w:fill="F2F2F2" w:themeFill="background1" w:themeFillShade="F2"/>
        <w:contextualSpacing/>
        <w:rPr>
          <w:rFonts w:cstheme="minorHAnsi"/>
        </w:rPr>
      </w:pPr>
      <w:r w:rsidRPr="00F767EA">
        <w:rPr>
          <w:rFonts w:cstheme="minorHAnsi"/>
        </w:rPr>
        <w:t xml:space="preserve">16% selected Option 2, ‘Adopt the NDIS Code of Conduct for aged care workers’ </w:t>
      </w:r>
    </w:p>
    <w:p w14:paraId="6189E7C0" w14:textId="67069DC3" w:rsidR="00EC7C75" w:rsidRPr="00F767EA" w:rsidRDefault="00EC7C75" w:rsidP="007C36E4">
      <w:pPr>
        <w:pStyle w:val="mpcbullets1"/>
        <w:pBdr>
          <w:top w:val="single" w:sz="4" w:space="1" w:color="auto"/>
          <w:left w:val="single" w:sz="4" w:space="4" w:color="auto"/>
          <w:bottom w:val="single" w:sz="4" w:space="1" w:color="auto"/>
          <w:right w:val="single" w:sz="4" w:space="4" w:color="auto"/>
        </w:pBdr>
        <w:shd w:val="clear" w:color="auto" w:fill="F2F2F2" w:themeFill="background1" w:themeFillShade="F2"/>
        <w:contextualSpacing/>
        <w:rPr>
          <w:rFonts w:cstheme="minorHAnsi"/>
        </w:rPr>
      </w:pPr>
      <w:r w:rsidRPr="00F767EA">
        <w:rPr>
          <w:rFonts w:cstheme="minorHAnsi"/>
        </w:rPr>
        <w:t>43% selected Option 3, ‘Develop a new code of conduct specific to aged care workers’ as their preferred approach</w:t>
      </w:r>
    </w:p>
    <w:p w14:paraId="1987E9E4" w14:textId="77777777" w:rsidR="00EC7C75" w:rsidRPr="00F767EA" w:rsidRDefault="00EC7C75" w:rsidP="007C36E4">
      <w:pPr>
        <w:pStyle w:val="mpcbullets1"/>
        <w:pBdr>
          <w:top w:val="single" w:sz="4" w:space="1" w:color="auto"/>
          <w:left w:val="single" w:sz="4" w:space="4" w:color="auto"/>
          <w:bottom w:val="single" w:sz="4" w:space="1" w:color="auto"/>
          <w:right w:val="single" w:sz="4" w:space="4" w:color="auto"/>
        </w:pBdr>
        <w:shd w:val="clear" w:color="auto" w:fill="F2F2F2" w:themeFill="background1" w:themeFillShade="F2"/>
        <w:contextualSpacing/>
        <w:rPr>
          <w:rFonts w:cstheme="minorHAnsi"/>
        </w:rPr>
      </w:pPr>
      <w:r w:rsidRPr="00F767EA">
        <w:rPr>
          <w:rFonts w:cstheme="minorHAnsi"/>
        </w:rPr>
        <w:t>14% did not answer.</w:t>
      </w:r>
    </w:p>
    <w:p w14:paraId="0E249092" w14:textId="77777777" w:rsidR="00EC7C75" w:rsidRPr="00F767EA" w:rsidRDefault="00EC7C75" w:rsidP="007C36E4">
      <w:pPr>
        <w:pStyle w:val="mpcNormal"/>
        <w:spacing w:after="0"/>
        <w:rPr>
          <w:rFonts w:cstheme="minorHAnsi"/>
        </w:rPr>
      </w:pPr>
    </w:p>
    <w:p w14:paraId="2BCAE21E" w14:textId="0F4A1ED6" w:rsidR="00EC7C75" w:rsidRPr="00F767EA" w:rsidRDefault="0058678B" w:rsidP="007C36E4">
      <w:pPr>
        <w:pStyle w:val="mpcNormal"/>
        <w:spacing w:after="0"/>
        <w:rPr>
          <w:rFonts w:cstheme="minorHAnsi"/>
        </w:rPr>
      </w:pPr>
      <w:r>
        <w:rPr>
          <w:rFonts w:cstheme="minorHAnsi"/>
        </w:rPr>
        <w:t>Of t</w:t>
      </w:r>
      <w:r w:rsidR="00EC7C75" w:rsidRPr="00F767EA">
        <w:rPr>
          <w:rFonts w:cstheme="minorHAnsi"/>
        </w:rPr>
        <w:t>hose stakeholders who selected Option 1</w:t>
      </w:r>
      <w:r>
        <w:rPr>
          <w:rFonts w:cstheme="minorHAnsi"/>
        </w:rPr>
        <w:t xml:space="preserve">, a number </w:t>
      </w:r>
      <w:r w:rsidR="00EC7C75" w:rsidRPr="00F767EA">
        <w:rPr>
          <w:rFonts w:cstheme="minorHAnsi"/>
        </w:rPr>
        <w:t xml:space="preserve">noted that the Aged Care Quality Standards and Charter of Aged Care Rights have only been in effect since 1 July 2019, and that there had not yet been sufficient assessment of the positive impacts and/or opportunities relating to regulatory oversight and the correlation between workforce behaviour and consumer outcomes. </w:t>
      </w:r>
    </w:p>
    <w:p w14:paraId="215171C4" w14:textId="77777777" w:rsidR="00EC7C75" w:rsidRPr="00F767EA" w:rsidRDefault="00EC7C75" w:rsidP="007C36E4">
      <w:pPr>
        <w:pStyle w:val="mpcNormal"/>
        <w:spacing w:after="0"/>
        <w:rPr>
          <w:rFonts w:cstheme="minorHAnsi"/>
        </w:rPr>
      </w:pPr>
    </w:p>
    <w:p w14:paraId="614F0EA7" w14:textId="478E8B7A" w:rsidR="00EC7C75" w:rsidRPr="00F767EA" w:rsidRDefault="00EC7C75" w:rsidP="007C36E4">
      <w:pPr>
        <w:pStyle w:val="mpcNormal"/>
        <w:spacing w:after="0"/>
        <w:rPr>
          <w:rFonts w:cstheme="minorHAnsi"/>
        </w:rPr>
      </w:pPr>
      <w:r w:rsidRPr="00F767EA">
        <w:rPr>
          <w:rFonts w:cstheme="minorHAnsi"/>
        </w:rPr>
        <w:t>Some stakeholders suggested developing companion pieces to these already existing requirements to address worker conduct directly. However, a majority of stakeholders favoured the development of an aged care specific code to be applied to individual workers, also noting that the code should closely align with the NDIS Code.</w:t>
      </w:r>
    </w:p>
    <w:p w14:paraId="30F21634" w14:textId="77777777" w:rsidR="00EC7C75" w:rsidRPr="00F767EA" w:rsidRDefault="00EC7C75" w:rsidP="007C36E4">
      <w:pPr>
        <w:pStyle w:val="mpcNormal"/>
        <w:spacing w:after="0"/>
        <w:rPr>
          <w:rFonts w:cstheme="minorHAnsi"/>
        </w:rPr>
      </w:pPr>
    </w:p>
    <w:p w14:paraId="524A9431" w14:textId="77777777" w:rsidR="00EC7C75" w:rsidRPr="00F767EA" w:rsidRDefault="00EC7C75" w:rsidP="007C36E4">
      <w:pPr>
        <w:pStyle w:val="mpcheading4"/>
        <w:spacing w:after="0"/>
        <w:rPr>
          <w:rFonts w:cstheme="minorHAnsi"/>
        </w:rPr>
      </w:pPr>
      <w:bookmarkStart w:id="39" w:name="_Toc45807954"/>
      <w:bookmarkStart w:id="40" w:name="_Toc49253244"/>
      <w:r w:rsidRPr="00F767EA">
        <w:rPr>
          <w:rFonts w:cstheme="minorHAnsi"/>
        </w:rPr>
        <w:t>Aged care code of conduct</w:t>
      </w:r>
      <w:bookmarkEnd w:id="39"/>
      <w:bookmarkEnd w:id="40"/>
    </w:p>
    <w:p w14:paraId="12240AB3" w14:textId="77777777" w:rsidR="00EC7C75" w:rsidRPr="00F767EA" w:rsidRDefault="00EC7C75" w:rsidP="007C36E4">
      <w:pPr>
        <w:pStyle w:val="mpcNormal"/>
        <w:spacing w:after="0"/>
        <w:rPr>
          <w:rFonts w:cstheme="minorHAnsi"/>
        </w:rPr>
      </w:pPr>
    </w:p>
    <w:p w14:paraId="0BBB21EA" w14:textId="77777777" w:rsidR="00EC7C75" w:rsidRPr="00F767EA" w:rsidRDefault="00EC7C75" w:rsidP="007C36E4">
      <w:pPr>
        <w:pStyle w:val="mpcNormal"/>
        <w:spacing w:after="0"/>
        <w:rPr>
          <w:rFonts w:cstheme="minorHAnsi"/>
        </w:rPr>
      </w:pPr>
      <w:r w:rsidRPr="00F767EA">
        <w:rPr>
          <w:rFonts w:cstheme="minorHAnsi"/>
        </w:rPr>
        <w:t>In determining the key features of an aged care code of conduct, stakeholder feedback indicated that, as a minimum, a code of conduct should:</w:t>
      </w:r>
    </w:p>
    <w:p w14:paraId="2510B9EB" w14:textId="77777777" w:rsidR="00EC7C75" w:rsidRPr="00F767EA" w:rsidRDefault="00EC7C75" w:rsidP="007C36E4">
      <w:pPr>
        <w:pStyle w:val="mpcNormal"/>
        <w:spacing w:after="0"/>
        <w:rPr>
          <w:rFonts w:cstheme="minorHAnsi"/>
        </w:rPr>
      </w:pPr>
    </w:p>
    <w:p w14:paraId="0DB930C9" w14:textId="3A3AAECB" w:rsidR="00EC7C75" w:rsidRPr="00717BBF" w:rsidRDefault="00EC7C75" w:rsidP="00200350">
      <w:pPr>
        <w:pStyle w:val="mpcbullets1"/>
      </w:pPr>
      <w:r w:rsidRPr="00717BBF">
        <w:t xml:space="preserve">cover </w:t>
      </w:r>
      <w:r w:rsidR="006B62CD" w:rsidRPr="00717BBF">
        <w:t xml:space="preserve">all </w:t>
      </w:r>
      <w:r w:rsidRPr="00717BBF">
        <w:t>aged care workers (not just a subset</w:t>
      </w:r>
      <w:r w:rsidR="00F104F6" w:rsidRPr="00717BBF">
        <w:t>, such as</w:t>
      </w:r>
      <w:r w:rsidR="00D94D1D" w:rsidRPr="00717BBF">
        <w:t xml:space="preserve"> PCWs</w:t>
      </w:r>
      <w:r w:rsidRPr="00717BBF">
        <w:t>)</w:t>
      </w:r>
    </w:p>
    <w:p w14:paraId="14913C47" w14:textId="46472D47" w:rsidR="00EC7C75" w:rsidRPr="00717BBF" w:rsidRDefault="00EC7C75" w:rsidP="00200350">
      <w:pPr>
        <w:pStyle w:val="mpcbullets1"/>
      </w:pPr>
      <w:r w:rsidRPr="00717BBF">
        <w:t>be nationally applicable and consistent</w:t>
      </w:r>
    </w:p>
    <w:p w14:paraId="22C23E8B" w14:textId="6FFFA194" w:rsidR="00EC7C75" w:rsidRPr="00F767EA" w:rsidRDefault="0058678B" w:rsidP="00200350">
      <w:pPr>
        <w:pStyle w:val="mpcbullets1"/>
      </w:pPr>
      <w:r>
        <w:lastRenderedPageBreak/>
        <w:t xml:space="preserve">be underpinned by the power for </w:t>
      </w:r>
      <w:r w:rsidR="00EC7C75" w:rsidRPr="00F767EA">
        <w:t xml:space="preserve">enforceable action to be taken </w:t>
      </w:r>
      <w:r>
        <w:t xml:space="preserve">where a person’s conduct is not consistent with the Code </w:t>
      </w:r>
      <w:r w:rsidR="00EC7C75" w:rsidRPr="00F767EA">
        <w:t>and for that action to be nationally recognised</w:t>
      </w:r>
      <w:r>
        <w:t>.</w:t>
      </w:r>
    </w:p>
    <w:p w14:paraId="7619F97A" w14:textId="77777777" w:rsidR="0058678B" w:rsidRDefault="0058678B" w:rsidP="00200350">
      <w:pPr>
        <w:pStyle w:val="mpcbullets1"/>
        <w:numPr>
          <w:ilvl w:val="0"/>
          <w:numId w:val="0"/>
        </w:numPr>
        <w:ind w:left="360"/>
      </w:pPr>
    </w:p>
    <w:p w14:paraId="5D60999A" w14:textId="0F5EA3ED" w:rsidR="0058678B" w:rsidRDefault="0058678B" w:rsidP="0058678B">
      <w:pPr>
        <w:rPr>
          <w:rFonts w:cstheme="minorHAnsi"/>
        </w:rPr>
      </w:pPr>
      <w:r>
        <w:rPr>
          <w:rFonts w:cstheme="minorHAnsi"/>
        </w:rPr>
        <w:t>It was also suggested that:</w:t>
      </w:r>
    </w:p>
    <w:p w14:paraId="3CC361FC" w14:textId="77777777" w:rsidR="0058678B" w:rsidRDefault="0058678B" w:rsidP="0058678B">
      <w:pPr>
        <w:rPr>
          <w:rFonts w:cstheme="minorHAnsi"/>
        </w:rPr>
      </w:pPr>
    </w:p>
    <w:p w14:paraId="308D9791" w14:textId="73068D1D" w:rsidR="0058678B" w:rsidRPr="00200350" w:rsidRDefault="0058678B" w:rsidP="00200350">
      <w:pPr>
        <w:pStyle w:val="mpcbullets1"/>
      </w:pPr>
      <w:r w:rsidRPr="00200350">
        <w:t xml:space="preserve">consideration of complaints against a worker (for non-compliance with the code) should </w:t>
      </w:r>
      <w:r w:rsidR="00EC7C75" w:rsidRPr="00200350">
        <w:t>be considered in tandem with any complaints against the aged care service</w:t>
      </w:r>
    </w:p>
    <w:p w14:paraId="69E5BF40" w14:textId="1B4B5ED1" w:rsidR="00EC7C75" w:rsidRPr="00200350" w:rsidRDefault="0058678B" w:rsidP="00200350">
      <w:pPr>
        <w:pStyle w:val="mpcbullets1"/>
      </w:pPr>
      <w:r w:rsidRPr="00200350">
        <w:t xml:space="preserve">the outcome of any findings of non-compliance (e.g. by a national body) should </w:t>
      </w:r>
      <w:r w:rsidR="00EC7C75" w:rsidRPr="00200350">
        <w:t xml:space="preserve">be centrally </w:t>
      </w:r>
      <w:r w:rsidRPr="00200350">
        <w:t xml:space="preserve">held </w:t>
      </w:r>
      <w:r w:rsidR="00EC7C75" w:rsidRPr="00200350">
        <w:t xml:space="preserve">and form part of worker screening assessments. </w:t>
      </w:r>
    </w:p>
    <w:p w14:paraId="2DE6DDC2" w14:textId="77777777" w:rsidR="00EC7C75" w:rsidRPr="00F767EA" w:rsidRDefault="00EC7C75" w:rsidP="007C36E4">
      <w:pPr>
        <w:pStyle w:val="mpcNormal"/>
        <w:spacing w:after="0"/>
        <w:rPr>
          <w:rFonts w:cstheme="minorHAnsi"/>
        </w:rPr>
      </w:pPr>
    </w:p>
    <w:p w14:paraId="0CD61759" w14:textId="77777777" w:rsidR="00EC7C75" w:rsidRPr="00F767EA" w:rsidRDefault="00EC7C75" w:rsidP="007C36E4">
      <w:pPr>
        <w:pStyle w:val="mpcNormal"/>
        <w:spacing w:after="0"/>
        <w:rPr>
          <w:rFonts w:cstheme="minorHAnsi"/>
        </w:rPr>
      </w:pPr>
      <w:r w:rsidRPr="00F767EA">
        <w:rPr>
          <w:rFonts w:cstheme="minorHAnsi"/>
        </w:rPr>
        <w:t xml:space="preserve">Stakeholders identified a number of advantages to an aged care specific code, including: </w:t>
      </w:r>
    </w:p>
    <w:p w14:paraId="0C4A69D5" w14:textId="77777777" w:rsidR="00EC7C75" w:rsidRPr="00F767EA" w:rsidRDefault="00EC7C75" w:rsidP="007C36E4">
      <w:pPr>
        <w:pStyle w:val="mpcNormal"/>
        <w:spacing w:after="0"/>
        <w:rPr>
          <w:rFonts w:cstheme="minorHAnsi"/>
        </w:rPr>
      </w:pPr>
    </w:p>
    <w:p w14:paraId="1DCAC235" w14:textId="77777777" w:rsidR="00EC7C75" w:rsidRPr="00F767EA" w:rsidRDefault="00EC7C75" w:rsidP="00200350">
      <w:pPr>
        <w:pStyle w:val="mpcbullets1"/>
      </w:pPr>
      <w:r w:rsidRPr="00F767EA">
        <w:t xml:space="preserve">having a consistent code that can be designed to complement and strengthen existing standards in aged care </w:t>
      </w:r>
    </w:p>
    <w:p w14:paraId="06893D14" w14:textId="77777777" w:rsidR="00EC7C75" w:rsidRPr="00F767EA" w:rsidRDefault="00EC7C75" w:rsidP="00200350">
      <w:pPr>
        <w:pStyle w:val="mpcbullets1"/>
      </w:pPr>
      <w:r w:rsidRPr="00F767EA">
        <w:t xml:space="preserve">the ability to include aged care specific issues like restrictive practices, chemical restraint, culturally safe and inclusive care, and dignity of risk into the expected behaviours </w:t>
      </w:r>
    </w:p>
    <w:p w14:paraId="59F8E93A" w14:textId="77777777" w:rsidR="00EC7C75" w:rsidRPr="00F767EA" w:rsidRDefault="00EC7C75" w:rsidP="00200350">
      <w:pPr>
        <w:pStyle w:val="mpcbullets1"/>
      </w:pPr>
      <w:r w:rsidRPr="00F767EA">
        <w:t xml:space="preserve">that it would be easily identifiable by consumers as applicable to them (noting that some consumers do not appreciate that they have rights under the National Code in some jurisdictions) </w:t>
      </w:r>
    </w:p>
    <w:p w14:paraId="3D18426B" w14:textId="77777777" w:rsidR="00EC7C75" w:rsidRPr="00F767EA" w:rsidRDefault="00EC7C75" w:rsidP="00200350">
      <w:pPr>
        <w:pStyle w:val="mpcbullets1"/>
      </w:pPr>
      <w:r w:rsidRPr="00F767EA">
        <w:t xml:space="preserve">it could support the introduction of an aged care specific registration scheme </w:t>
      </w:r>
    </w:p>
    <w:p w14:paraId="66B8CF5F" w14:textId="38E9ADAF" w:rsidR="00EC7C75" w:rsidRPr="00F767EA" w:rsidRDefault="00EC7C75" w:rsidP="00200350">
      <w:pPr>
        <w:pStyle w:val="mpcbullets1"/>
      </w:pPr>
      <w:r w:rsidRPr="00F767EA">
        <w:t xml:space="preserve">it could support the notion that all parties within the aged care setting have responsibilities – consumers have contractual responsibilities, providers have legislative responsibilities, nursing and registered staff have professional responsibilities, </w:t>
      </w:r>
      <w:r w:rsidR="0058678B">
        <w:t xml:space="preserve">and all workers have a responsibility to act in accordance with the code </w:t>
      </w:r>
      <w:r w:rsidRPr="00F767EA">
        <w:t xml:space="preserve">etc. </w:t>
      </w:r>
    </w:p>
    <w:p w14:paraId="5AF85ACF" w14:textId="77777777" w:rsidR="00EC7C75" w:rsidRPr="00F767EA" w:rsidRDefault="00EC7C75" w:rsidP="00200350">
      <w:pPr>
        <w:pStyle w:val="mpcbullets1"/>
      </w:pPr>
      <w:r w:rsidRPr="00F767EA">
        <w:t xml:space="preserve">it would identify clear expectations of aged care workers such that poor conduct could be measured and identified (including by colleagues) </w:t>
      </w:r>
    </w:p>
    <w:p w14:paraId="04C0953D" w14:textId="77777777" w:rsidR="00EC7C75" w:rsidRPr="00F767EA" w:rsidRDefault="00EC7C75" w:rsidP="00200350">
      <w:pPr>
        <w:pStyle w:val="mpcbullets1"/>
      </w:pPr>
      <w:r w:rsidRPr="00F767EA">
        <w:t xml:space="preserve">it would provide those organisations that don’t use an organisation-specific code of conduct with a baseline code that addresses the specific concerns in aged care </w:t>
      </w:r>
    </w:p>
    <w:p w14:paraId="6B29F70F" w14:textId="47441751" w:rsidR="00EC7C75" w:rsidRPr="00F767EA" w:rsidRDefault="00EC7C75" w:rsidP="00200350">
      <w:pPr>
        <w:pStyle w:val="mpcbullets1"/>
      </w:pPr>
      <w:r w:rsidRPr="00F767EA">
        <w:t xml:space="preserve">it </w:t>
      </w:r>
      <w:r w:rsidR="0058678B">
        <w:t>c</w:t>
      </w:r>
      <w:r w:rsidRPr="00F767EA">
        <w:t xml:space="preserve">ould be </w:t>
      </w:r>
      <w:r w:rsidR="0058678B">
        <w:t xml:space="preserve">developed in a manner that is broadly </w:t>
      </w:r>
      <w:r w:rsidRPr="00F767EA">
        <w:t xml:space="preserve">consistent with </w:t>
      </w:r>
      <w:r w:rsidR="0058678B">
        <w:t xml:space="preserve">the </w:t>
      </w:r>
      <w:r w:rsidRPr="00F767EA">
        <w:t xml:space="preserve">codes of conduct and ethics specific to the different professions within the National Scheme and in the disability sector. </w:t>
      </w:r>
    </w:p>
    <w:p w14:paraId="46B9CE57" w14:textId="77777777" w:rsidR="00200350" w:rsidRDefault="00200350" w:rsidP="00984F11">
      <w:pPr>
        <w:pStyle w:val="mpcNormal"/>
        <w:keepNext/>
        <w:spacing w:after="0"/>
        <w:rPr>
          <w:rFonts w:cstheme="minorHAnsi"/>
        </w:rPr>
      </w:pPr>
    </w:p>
    <w:p w14:paraId="2ECB975D" w14:textId="760F5EEE" w:rsidR="00EC7C75" w:rsidRPr="00F767EA" w:rsidRDefault="00EC7C75" w:rsidP="00984F11">
      <w:pPr>
        <w:pStyle w:val="mpcNormal"/>
        <w:keepNext/>
        <w:spacing w:after="0"/>
        <w:rPr>
          <w:rFonts w:cstheme="minorHAnsi"/>
        </w:rPr>
      </w:pPr>
      <w:r w:rsidRPr="00F767EA">
        <w:rPr>
          <w:rFonts w:cstheme="minorHAnsi"/>
        </w:rPr>
        <w:t xml:space="preserve">Stakeholders did however acknowledge some disadvantages of an aged care specific code, noting that: </w:t>
      </w:r>
    </w:p>
    <w:p w14:paraId="537A8CB9" w14:textId="77777777" w:rsidR="00EC7C75" w:rsidRPr="00F767EA" w:rsidRDefault="00EC7C75" w:rsidP="00984F11">
      <w:pPr>
        <w:pStyle w:val="mpcNormal"/>
        <w:keepNext/>
        <w:spacing w:after="0"/>
        <w:rPr>
          <w:rFonts w:cstheme="minorHAnsi"/>
        </w:rPr>
      </w:pPr>
    </w:p>
    <w:p w14:paraId="1F75690E" w14:textId="740E2794" w:rsidR="00EC7C75" w:rsidRPr="00F767EA" w:rsidRDefault="00EC7C75" w:rsidP="00200350">
      <w:pPr>
        <w:pStyle w:val="mpcbullets1"/>
      </w:pPr>
      <w:r w:rsidRPr="00F767EA">
        <w:t>the introduction of an additional code may increase confusion where codes overlap. For example, workers who work across both disability and aged care</w:t>
      </w:r>
      <w:r w:rsidR="002F22D7">
        <w:t>,</w:t>
      </w:r>
      <w:r w:rsidRPr="00F767EA">
        <w:t xml:space="preserve"> and registered professionals who have their own professional codes of conduct</w:t>
      </w:r>
    </w:p>
    <w:p w14:paraId="764BFB60" w14:textId="77777777" w:rsidR="00EC7C75" w:rsidRPr="00F767EA" w:rsidRDefault="00EC7C75" w:rsidP="00200350">
      <w:pPr>
        <w:pStyle w:val="mpcbullets1"/>
      </w:pPr>
      <w:r w:rsidRPr="00F767EA">
        <w:t xml:space="preserve">it could displace any existing codes of conduct that providers have in place for their employees (which are usually aligned with organisational culture) </w:t>
      </w:r>
    </w:p>
    <w:p w14:paraId="5BF7820B" w14:textId="77777777" w:rsidR="00EC7C75" w:rsidRPr="00F767EA" w:rsidRDefault="00EC7C75" w:rsidP="00200350">
      <w:pPr>
        <w:pStyle w:val="mpcbullets1"/>
      </w:pPr>
      <w:r w:rsidRPr="00F767EA">
        <w:t>it would increase training and education for workers and providers where multiple codes apply</w:t>
      </w:r>
    </w:p>
    <w:p w14:paraId="4144B6B0" w14:textId="77777777" w:rsidR="00EC7C75" w:rsidRPr="00F767EA" w:rsidRDefault="00EC7C75" w:rsidP="00200350">
      <w:pPr>
        <w:pStyle w:val="mpcbullets1"/>
      </w:pPr>
      <w:r w:rsidRPr="00F767EA">
        <w:t xml:space="preserve">legislative change might be needed to support its introduction, and it would require consultation, transition and education to help workers, employers and consumers understand the stated behaviours in practice and the consequences of breaches of the code (such that it may take some time to implement and see improvements, as compared to adopting an existing code). </w:t>
      </w:r>
    </w:p>
    <w:p w14:paraId="04215DDA" w14:textId="77777777" w:rsidR="00EC7C75" w:rsidRPr="00F767EA" w:rsidRDefault="00EC7C75" w:rsidP="007C36E4">
      <w:pPr>
        <w:pStyle w:val="mpcNormal"/>
        <w:spacing w:after="0"/>
        <w:rPr>
          <w:rFonts w:cstheme="minorHAnsi"/>
        </w:rPr>
      </w:pPr>
    </w:p>
    <w:p w14:paraId="0F1A147E" w14:textId="77777777" w:rsidR="00EC7C75" w:rsidRPr="00F767EA" w:rsidRDefault="00EC7C75" w:rsidP="00200350">
      <w:pPr>
        <w:pStyle w:val="mpcheading4"/>
        <w:keepNext/>
        <w:spacing w:after="0"/>
        <w:rPr>
          <w:rFonts w:cstheme="minorHAnsi"/>
        </w:rPr>
      </w:pPr>
      <w:bookmarkStart w:id="41" w:name="_Toc45807955"/>
      <w:bookmarkStart w:id="42" w:name="_Toc49253245"/>
      <w:r w:rsidRPr="00F767EA">
        <w:rPr>
          <w:rFonts w:cstheme="minorHAnsi"/>
        </w:rPr>
        <w:lastRenderedPageBreak/>
        <w:t>NDIS Code</w:t>
      </w:r>
      <w:bookmarkEnd w:id="41"/>
      <w:bookmarkEnd w:id="42"/>
    </w:p>
    <w:p w14:paraId="3B546C67" w14:textId="77777777" w:rsidR="00B56B53" w:rsidRDefault="00B56B53" w:rsidP="00200350">
      <w:pPr>
        <w:keepNext/>
        <w:rPr>
          <w:rFonts w:cstheme="minorHAnsi"/>
        </w:rPr>
      </w:pPr>
    </w:p>
    <w:p w14:paraId="7690E443" w14:textId="55F0D301" w:rsidR="00EC7C75" w:rsidRPr="00F767EA" w:rsidRDefault="00EC7C75" w:rsidP="00200350">
      <w:pPr>
        <w:keepNext/>
        <w:rPr>
          <w:rFonts w:cstheme="minorHAnsi"/>
        </w:rPr>
      </w:pPr>
      <w:r w:rsidRPr="00F767EA">
        <w:rPr>
          <w:rFonts w:cstheme="minorHAnsi"/>
        </w:rPr>
        <w:t>While</w:t>
      </w:r>
      <w:r w:rsidR="00EF695F">
        <w:rPr>
          <w:rFonts w:cstheme="minorHAnsi"/>
        </w:rPr>
        <w:t xml:space="preserve"> </w:t>
      </w:r>
      <w:r w:rsidRPr="00F767EA">
        <w:rPr>
          <w:rFonts w:cstheme="minorHAnsi"/>
        </w:rPr>
        <w:t>building on existing regulatory schemes (including to reduce duplication) was important to</w:t>
      </w:r>
      <w:r w:rsidR="00EF695F">
        <w:rPr>
          <w:rFonts w:cstheme="minorHAnsi"/>
        </w:rPr>
        <w:t xml:space="preserve"> many </w:t>
      </w:r>
      <w:r w:rsidRPr="00F767EA">
        <w:rPr>
          <w:rFonts w:cstheme="minorHAnsi"/>
        </w:rPr>
        <w:t>stakeholders</w:t>
      </w:r>
      <w:r w:rsidR="00EF695F">
        <w:rPr>
          <w:rFonts w:cstheme="minorHAnsi"/>
        </w:rPr>
        <w:t xml:space="preserve"> (and this objective was noted in response to many questions)</w:t>
      </w:r>
      <w:r w:rsidRPr="00F767EA">
        <w:rPr>
          <w:rFonts w:cstheme="minorHAnsi"/>
        </w:rPr>
        <w:t xml:space="preserve">, only 16% of stakeholders favoured the adoption of the NDIS Code. For those stakeholders who were supportive of adopting the NDIS Code, the importance of avoiding duplication, not ‘recreating the wheel’, ensuring consistency with the disability sector and the high-level (and therefore applicable) content of the NDIS Code, meant the adoption of the NDIS Code made more sense. </w:t>
      </w:r>
    </w:p>
    <w:p w14:paraId="2F91CAEA" w14:textId="77777777" w:rsidR="00EC7C75" w:rsidRPr="00F767EA" w:rsidRDefault="00EC7C75" w:rsidP="007C36E4">
      <w:pPr>
        <w:rPr>
          <w:rFonts w:cstheme="minorHAnsi"/>
        </w:rPr>
      </w:pPr>
    </w:p>
    <w:p w14:paraId="07222E21" w14:textId="77777777" w:rsidR="00EC7C75" w:rsidRPr="00F767EA" w:rsidRDefault="00EC7C75" w:rsidP="007C36E4">
      <w:pPr>
        <w:rPr>
          <w:rFonts w:cstheme="minorHAnsi"/>
        </w:rPr>
      </w:pPr>
      <w:r w:rsidRPr="00F767EA">
        <w:rPr>
          <w:rFonts w:cstheme="minorHAnsi"/>
        </w:rPr>
        <w:t>Many of the stakeholders who preferred the implementation of an aged care specific code, still noted that:</w:t>
      </w:r>
    </w:p>
    <w:p w14:paraId="45506787" w14:textId="77777777" w:rsidR="00EC7C75" w:rsidRPr="00F767EA" w:rsidRDefault="00EC7C75" w:rsidP="007C36E4">
      <w:pPr>
        <w:rPr>
          <w:rFonts w:cstheme="minorHAnsi"/>
        </w:rPr>
      </w:pPr>
    </w:p>
    <w:p w14:paraId="38A08115" w14:textId="77777777" w:rsidR="00EC7C75" w:rsidRPr="00F767EA" w:rsidRDefault="00EC7C75" w:rsidP="00200350">
      <w:pPr>
        <w:pStyle w:val="mpcbullets1"/>
      </w:pPr>
      <w:r w:rsidRPr="00F767EA">
        <w:t>reference to the NDIS Code and its principles is relevant given the shared workforce and consumers</w:t>
      </w:r>
    </w:p>
    <w:p w14:paraId="0084D0B5" w14:textId="77777777" w:rsidR="00EC7C75" w:rsidRPr="00F767EA" w:rsidRDefault="00EC7C75" w:rsidP="007C36E4">
      <w:pPr>
        <w:pStyle w:val="mpcbullets2"/>
        <w:rPr>
          <w:rFonts w:cstheme="minorHAnsi"/>
        </w:rPr>
      </w:pPr>
      <w:r w:rsidRPr="00F767EA">
        <w:rPr>
          <w:rFonts w:cstheme="minorHAnsi"/>
        </w:rPr>
        <w:t xml:space="preserve">For example, aged care providers who deliver behaviour supports or restrictive practices for NDIS participants are already subject to the NDIS Code. </w:t>
      </w:r>
    </w:p>
    <w:p w14:paraId="02476D93" w14:textId="3B02A523" w:rsidR="00EC7C75" w:rsidRPr="00B3510F" w:rsidRDefault="00EC7C75" w:rsidP="00200350">
      <w:pPr>
        <w:pStyle w:val="mpcbullets1"/>
      </w:pPr>
      <w:r w:rsidRPr="00F767EA">
        <w:t xml:space="preserve">an aged care specific code of conduct that mirrors or complements the NDIS Code would reduce </w:t>
      </w:r>
      <w:r w:rsidRPr="00B3510F">
        <w:t>overlapping codes even within aged care</w:t>
      </w:r>
    </w:p>
    <w:p w14:paraId="1AB0F524" w14:textId="69B70E64" w:rsidR="002F6F6D" w:rsidRPr="00B3510F" w:rsidRDefault="007D4513" w:rsidP="005B7CED">
      <w:pPr>
        <w:pStyle w:val="mpcbullets1"/>
      </w:pPr>
      <w:r w:rsidRPr="00B3510F">
        <w:t xml:space="preserve">the </w:t>
      </w:r>
      <w:r w:rsidR="00AF2CC1" w:rsidRPr="00B3510F">
        <w:t>NDIS</w:t>
      </w:r>
      <w:r w:rsidRPr="00B3510F">
        <w:t xml:space="preserve"> Code applies to </w:t>
      </w:r>
      <w:r w:rsidR="005B7CED" w:rsidRPr="00B3510F">
        <w:t>all workers delivering services or supports</w:t>
      </w:r>
      <w:r w:rsidR="00131253">
        <w:rPr>
          <w:rStyle w:val="FootnoteReference"/>
        </w:rPr>
        <w:footnoteReference w:id="16"/>
      </w:r>
      <w:r w:rsidR="005B7CED" w:rsidRPr="00B3510F">
        <w:t xml:space="preserve"> (and is not dependent on the concept of a ‘risk-assessed role’ for the purposes of determining who must undergo worker screening).</w:t>
      </w:r>
      <w:r w:rsidR="002F6F6D" w:rsidRPr="00B3510F">
        <w:t xml:space="preserve"> </w:t>
      </w:r>
    </w:p>
    <w:p w14:paraId="48504643" w14:textId="7CB53EAB" w:rsidR="005B7CED" w:rsidRPr="00B3510F" w:rsidRDefault="002F6F6D" w:rsidP="002F6F6D">
      <w:pPr>
        <w:pStyle w:val="mpcbullets2"/>
      </w:pPr>
      <w:r w:rsidRPr="00B3510F">
        <w:t xml:space="preserve">Consistent with this approach, an aged care code of conduct </w:t>
      </w:r>
      <w:r w:rsidR="00E65B04">
        <w:t>c</w:t>
      </w:r>
      <w:r w:rsidRPr="00B3510F">
        <w:t xml:space="preserve">ould apply to all aged care workers, and not just those who come within the definition of ‘staff member’ (i.e. where the person has, or is reasonably likely to have, </w:t>
      </w:r>
      <w:r w:rsidR="00691A47">
        <w:t>access to</w:t>
      </w:r>
      <w:r w:rsidRPr="00B3510F">
        <w:t xml:space="preserve"> consumers).</w:t>
      </w:r>
    </w:p>
    <w:p w14:paraId="09434E43" w14:textId="77777777" w:rsidR="00EC7C75" w:rsidRPr="00F767EA" w:rsidRDefault="00EC7C75" w:rsidP="007C36E4">
      <w:pPr>
        <w:pStyle w:val="mpcNormal"/>
        <w:keepNext/>
        <w:spacing w:after="0"/>
        <w:rPr>
          <w:rFonts w:cstheme="minorHAnsi"/>
          <w:b/>
          <w:bCs/>
        </w:rPr>
      </w:pPr>
    </w:p>
    <w:p w14:paraId="761E259B" w14:textId="77777777" w:rsidR="00EC7C75" w:rsidRPr="00F767EA" w:rsidRDefault="00EC7C75" w:rsidP="007C36E4">
      <w:pPr>
        <w:pStyle w:val="mpcheading4"/>
        <w:spacing w:after="0"/>
        <w:rPr>
          <w:rFonts w:cstheme="minorHAnsi"/>
        </w:rPr>
      </w:pPr>
      <w:bookmarkStart w:id="43" w:name="_Toc45807956"/>
      <w:bookmarkStart w:id="44" w:name="_Toc49253246"/>
      <w:r w:rsidRPr="00F767EA">
        <w:rPr>
          <w:rFonts w:cstheme="minorHAnsi"/>
        </w:rPr>
        <w:t>National Code</w:t>
      </w:r>
      <w:bookmarkEnd w:id="43"/>
      <w:bookmarkEnd w:id="44"/>
    </w:p>
    <w:p w14:paraId="2371AF93" w14:textId="77777777" w:rsidR="00B56B53" w:rsidRDefault="00B56B53" w:rsidP="007C36E4">
      <w:pPr>
        <w:rPr>
          <w:rFonts w:cstheme="minorHAnsi"/>
        </w:rPr>
      </w:pPr>
    </w:p>
    <w:p w14:paraId="7D95A4E3" w14:textId="30CF8017" w:rsidR="00EC7C75" w:rsidRPr="00F767EA" w:rsidRDefault="00EC7C75" w:rsidP="007C36E4">
      <w:pPr>
        <w:rPr>
          <w:rFonts w:cstheme="minorHAnsi"/>
        </w:rPr>
      </w:pPr>
      <w:r w:rsidRPr="00F767EA">
        <w:rPr>
          <w:rFonts w:cstheme="minorHAnsi"/>
        </w:rPr>
        <w:t>Despite not being an explicit option identified in the online consultation, a number of submissions highlighted the possible application of the National Code noting that the Australian Law Reform Commission recommended the adoption of the National Code in its 2017 ‘</w:t>
      </w:r>
      <w:r w:rsidRPr="00F767EA">
        <w:rPr>
          <w:rFonts w:cstheme="minorHAnsi"/>
          <w:i/>
          <w:iCs/>
        </w:rPr>
        <w:t>Elder Abuse – A National Legal Response’</w:t>
      </w:r>
      <w:r w:rsidRPr="00F767EA">
        <w:rPr>
          <w:rFonts w:cstheme="minorHAnsi"/>
        </w:rPr>
        <w:t xml:space="preserve"> report.</w:t>
      </w:r>
    </w:p>
    <w:p w14:paraId="70E389D4" w14:textId="77777777" w:rsidR="00EC7C75" w:rsidRPr="00F767EA" w:rsidRDefault="00EC7C75" w:rsidP="007C36E4">
      <w:pPr>
        <w:pStyle w:val="mpcbullets1"/>
        <w:keepNext/>
        <w:numPr>
          <w:ilvl w:val="0"/>
          <w:numId w:val="0"/>
        </w:numPr>
        <w:rPr>
          <w:rFonts w:cstheme="minorHAnsi"/>
        </w:rPr>
      </w:pPr>
    </w:p>
    <w:p w14:paraId="642B8379" w14:textId="42899000" w:rsidR="00EC7C75" w:rsidRPr="00F767EA" w:rsidRDefault="00EC7C75" w:rsidP="007C36E4">
      <w:pPr>
        <w:pStyle w:val="mpcbullets1"/>
        <w:keepNext/>
        <w:numPr>
          <w:ilvl w:val="0"/>
          <w:numId w:val="0"/>
        </w:numPr>
        <w:rPr>
          <w:rFonts w:cstheme="minorHAnsi"/>
        </w:rPr>
      </w:pPr>
      <w:r w:rsidRPr="00F767EA">
        <w:rPr>
          <w:rFonts w:cstheme="minorHAnsi"/>
        </w:rPr>
        <w:t>While some stakeholders noted that the National Code was intended to apply to the aged care sector and that in some jurisdictions changes are underway to make the application of the National Code to aged care workers more explicit, stakeholders identified several limitations to adopting the National Code</w:t>
      </w:r>
      <w:r w:rsidR="00976E82">
        <w:rPr>
          <w:rFonts w:cstheme="minorHAnsi"/>
        </w:rPr>
        <w:t xml:space="preserve"> for aged care workers</w:t>
      </w:r>
      <w:r w:rsidRPr="00F767EA">
        <w:rPr>
          <w:rFonts w:cstheme="minorHAnsi"/>
        </w:rPr>
        <w:t xml:space="preserve">, including: </w:t>
      </w:r>
    </w:p>
    <w:p w14:paraId="745FA3BA" w14:textId="77777777" w:rsidR="00EC7C75" w:rsidRPr="00F767EA" w:rsidRDefault="00EC7C75" w:rsidP="007C36E4">
      <w:pPr>
        <w:pStyle w:val="mpcbullets1"/>
        <w:numPr>
          <w:ilvl w:val="0"/>
          <w:numId w:val="0"/>
        </w:numPr>
        <w:rPr>
          <w:rFonts w:cstheme="minorHAnsi"/>
        </w:rPr>
      </w:pPr>
    </w:p>
    <w:p w14:paraId="209CE656" w14:textId="28918D7E" w:rsidR="00EC7C75" w:rsidRPr="00097627" w:rsidRDefault="00EC7C75" w:rsidP="007C36E4">
      <w:pPr>
        <w:pStyle w:val="mpcbullets1"/>
        <w:rPr>
          <w:rFonts w:cstheme="minorHAnsi"/>
        </w:rPr>
      </w:pPr>
      <w:r w:rsidRPr="00F767EA">
        <w:rPr>
          <w:rFonts w:cstheme="minorHAnsi"/>
        </w:rPr>
        <w:t xml:space="preserve">If the National Code was given national application to aged care workers, health complaints entities within each of the States and Territories would be responsible for considering complaints and taking action under their respective authorising </w:t>
      </w:r>
      <w:r w:rsidRPr="00097627">
        <w:rPr>
          <w:rFonts w:cstheme="minorHAnsi"/>
        </w:rPr>
        <w:t xml:space="preserve">legislation, which would limit consolidation </w:t>
      </w:r>
      <w:r w:rsidR="00097627" w:rsidRPr="00097627">
        <w:rPr>
          <w:rFonts w:cstheme="minorHAnsi"/>
        </w:rPr>
        <w:t xml:space="preserve">of </w:t>
      </w:r>
      <w:r w:rsidR="00F104F6">
        <w:rPr>
          <w:rFonts w:cstheme="minorHAnsi"/>
        </w:rPr>
        <w:t>complaints</w:t>
      </w:r>
      <w:r w:rsidR="00097627" w:rsidRPr="00097627">
        <w:rPr>
          <w:rFonts w:cstheme="minorHAnsi"/>
        </w:rPr>
        <w:t xml:space="preserve"> investigation outcomes </w:t>
      </w:r>
      <w:r w:rsidRPr="00097627">
        <w:rPr>
          <w:rFonts w:cstheme="minorHAnsi"/>
        </w:rPr>
        <w:t xml:space="preserve">at the national level. </w:t>
      </w:r>
    </w:p>
    <w:p w14:paraId="7AEB27D5" w14:textId="77777777" w:rsidR="00B56B53" w:rsidRPr="00097627" w:rsidRDefault="00B56B53" w:rsidP="007C36E4">
      <w:pPr>
        <w:pStyle w:val="mpcbullets1"/>
        <w:numPr>
          <w:ilvl w:val="0"/>
          <w:numId w:val="0"/>
        </w:numPr>
        <w:ind w:left="360"/>
        <w:rPr>
          <w:rFonts w:cstheme="minorHAnsi"/>
        </w:rPr>
      </w:pPr>
    </w:p>
    <w:p w14:paraId="3E3D4769" w14:textId="0357FAF2" w:rsidR="00EC7C75" w:rsidRPr="00097627" w:rsidRDefault="00EC7C75" w:rsidP="007C36E4">
      <w:pPr>
        <w:pStyle w:val="mpcbullets1"/>
        <w:rPr>
          <w:rFonts w:cstheme="minorHAnsi"/>
        </w:rPr>
      </w:pPr>
      <w:r w:rsidRPr="00097627">
        <w:rPr>
          <w:rFonts w:cstheme="minorHAnsi"/>
        </w:rPr>
        <w:t>The National Code is not yet applicable in Western Australia, Northern Territory</w:t>
      </w:r>
      <w:r w:rsidR="00FD270A" w:rsidRPr="00097627">
        <w:rPr>
          <w:rFonts w:cstheme="minorHAnsi"/>
        </w:rPr>
        <w:t>, the Australian Capital Territory</w:t>
      </w:r>
      <w:r w:rsidRPr="00097627">
        <w:rPr>
          <w:rFonts w:cstheme="minorHAnsi"/>
        </w:rPr>
        <w:t xml:space="preserve"> or Tasmania, such that the Code would not be enforceable for workers in these jurisdictions.</w:t>
      </w:r>
    </w:p>
    <w:p w14:paraId="4FE95CA3" w14:textId="77777777" w:rsidR="00EC7C75" w:rsidRPr="00097627" w:rsidRDefault="00EC7C75" w:rsidP="007C36E4">
      <w:pPr>
        <w:pStyle w:val="mpcbullets1"/>
        <w:numPr>
          <w:ilvl w:val="0"/>
          <w:numId w:val="0"/>
        </w:numPr>
        <w:ind w:left="360"/>
        <w:rPr>
          <w:rFonts w:cstheme="minorHAnsi"/>
        </w:rPr>
      </w:pPr>
    </w:p>
    <w:p w14:paraId="4693BCB8" w14:textId="77777777" w:rsidR="00EC7C75" w:rsidRPr="00097627" w:rsidRDefault="00EC7C75" w:rsidP="00200350">
      <w:pPr>
        <w:pStyle w:val="mpcbullets1"/>
      </w:pPr>
      <w:r w:rsidRPr="00097627">
        <w:t>The application of the National Code to aged care workers is not consistent across the jurisdictions (</w:t>
      </w:r>
      <w:r w:rsidRPr="00200350">
        <w:t>despite</w:t>
      </w:r>
      <w:r w:rsidRPr="00097627">
        <w:t xml:space="preserve"> the intention that the National Code would apply to aged care workers who provided a ‘health service’ however defined within each of the jurisdictions). </w:t>
      </w:r>
    </w:p>
    <w:p w14:paraId="2CBBC114" w14:textId="2BD738E9" w:rsidR="00EC7C75" w:rsidRPr="00097627" w:rsidRDefault="00EC7C75" w:rsidP="007C36E4">
      <w:pPr>
        <w:pStyle w:val="mpcbullets2"/>
        <w:rPr>
          <w:rFonts w:cstheme="minorHAnsi"/>
        </w:rPr>
      </w:pPr>
      <w:r w:rsidRPr="00097627">
        <w:rPr>
          <w:rFonts w:cstheme="minorHAnsi"/>
        </w:rPr>
        <w:t xml:space="preserve">In some State/Territories, ‘health service’ is not defined broadly to include all aged care workers within all service environments. This means that staff in non-residential care environments or auxiliary staff such as lifestyle managers, cleaners, kitchen staff, CEOs and managers would not be subject to a code in some cases. </w:t>
      </w:r>
    </w:p>
    <w:p w14:paraId="39EAD4C3" w14:textId="77777777" w:rsidR="00EC7C75" w:rsidRPr="00097627" w:rsidRDefault="00EC7C75" w:rsidP="007C36E4">
      <w:pPr>
        <w:pStyle w:val="mpcbullets2"/>
        <w:numPr>
          <w:ilvl w:val="0"/>
          <w:numId w:val="0"/>
        </w:numPr>
        <w:ind w:left="720"/>
        <w:rPr>
          <w:rFonts w:cstheme="minorHAnsi"/>
        </w:rPr>
      </w:pPr>
    </w:p>
    <w:p w14:paraId="00F11509" w14:textId="7A4010BD" w:rsidR="00EC7C75" w:rsidRPr="00097627" w:rsidRDefault="00EC7C75" w:rsidP="00200350">
      <w:pPr>
        <w:pStyle w:val="mpcbullets1"/>
      </w:pPr>
      <w:r w:rsidRPr="00097627">
        <w:t>Some jurisdictions are not currently empowered to share information with other regulatory bodies or States/Territory health complaints entities for the purposes of having a national consolidation of complaint</w:t>
      </w:r>
      <w:r w:rsidR="00097627" w:rsidRPr="00097627">
        <w:t xml:space="preserve"> investigation outcome</w:t>
      </w:r>
      <w:r w:rsidRPr="00097627">
        <w:t>s. For example, due to confidentiality provisions in the Western Australian legislation, information about complaints is only permitted to be shared in limited circumstances.</w:t>
      </w:r>
      <w:r w:rsidRPr="00097627">
        <w:rPr>
          <w:rStyle w:val="FootnoteReference"/>
          <w:rFonts w:cstheme="minorHAnsi"/>
        </w:rPr>
        <w:footnoteReference w:id="17"/>
      </w:r>
      <w:r w:rsidRPr="00097627">
        <w:t xml:space="preserve"> </w:t>
      </w:r>
    </w:p>
    <w:p w14:paraId="3BC0A5BB" w14:textId="77777777" w:rsidR="00EC7C75" w:rsidRPr="00F767EA" w:rsidRDefault="00EC7C75" w:rsidP="007C36E4">
      <w:pPr>
        <w:pStyle w:val="ListParagraph"/>
        <w:ind w:left="360"/>
        <w:rPr>
          <w:rFonts w:cstheme="minorHAnsi"/>
        </w:rPr>
      </w:pPr>
    </w:p>
    <w:p w14:paraId="68A2B7E5" w14:textId="77777777" w:rsidR="00EC7C75" w:rsidRPr="00F767EA" w:rsidRDefault="00EC7C75" w:rsidP="00200350">
      <w:pPr>
        <w:pStyle w:val="mpcbullets1"/>
      </w:pPr>
      <w:r w:rsidRPr="00F767EA">
        <w:t>The threshold for investigation of complaints and enforcement action differs across jurisdictions.</w:t>
      </w:r>
    </w:p>
    <w:p w14:paraId="4575C400" w14:textId="77777777" w:rsidR="00EC7C75" w:rsidRPr="00F767EA" w:rsidRDefault="00EC7C75" w:rsidP="007C36E4">
      <w:pPr>
        <w:pStyle w:val="mpcbullets2"/>
        <w:rPr>
          <w:rFonts w:cstheme="minorHAnsi"/>
        </w:rPr>
      </w:pPr>
      <w:r w:rsidRPr="00F767EA">
        <w:rPr>
          <w:rFonts w:cstheme="minorHAnsi"/>
        </w:rPr>
        <w:t>For example, in Queensland, while complaints can be managed and steps taken to resolve issues, the health ombudsman can only take enforceable action if it is satisfied that the complaint presents a ‘serious risk to persons and it is necessary to protect public health or safety’</w:t>
      </w:r>
      <w:r w:rsidRPr="00F767EA">
        <w:rPr>
          <w:rFonts w:cstheme="minorHAnsi"/>
          <w:i/>
          <w:iCs/>
        </w:rPr>
        <w:t>.</w:t>
      </w:r>
      <w:r w:rsidRPr="00F767EA">
        <w:rPr>
          <w:rStyle w:val="FootnoteReference"/>
          <w:rFonts w:cstheme="minorHAnsi"/>
          <w:i/>
          <w:iCs/>
        </w:rPr>
        <w:footnoteReference w:id="18"/>
      </w:r>
      <w:r w:rsidRPr="00F767EA">
        <w:rPr>
          <w:rFonts w:cstheme="minorHAnsi"/>
          <w:i/>
          <w:iCs/>
        </w:rPr>
        <w:t xml:space="preserve"> </w:t>
      </w:r>
    </w:p>
    <w:p w14:paraId="51ED1ED9" w14:textId="436F49D9" w:rsidR="00EC7C75" w:rsidRPr="00F767EA" w:rsidRDefault="002F22D7" w:rsidP="007C36E4">
      <w:pPr>
        <w:pStyle w:val="mpcbullets2"/>
        <w:rPr>
          <w:rFonts w:cstheme="minorHAnsi"/>
        </w:rPr>
      </w:pPr>
      <w:r>
        <w:rPr>
          <w:rFonts w:cstheme="minorHAnsi"/>
        </w:rPr>
        <w:t>I</w:t>
      </w:r>
      <w:r w:rsidR="00EC7C75" w:rsidRPr="00F767EA">
        <w:rPr>
          <w:rFonts w:cstheme="minorHAnsi"/>
        </w:rPr>
        <w:t>n South Australia, there must be an ‘unacceptable risk to person’ before enforceable action can be taken as a consequence of a breach of the National Code.</w:t>
      </w:r>
      <w:r w:rsidR="00EC7C75" w:rsidRPr="00F767EA">
        <w:rPr>
          <w:rStyle w:val="FootnoteReference"/>
          <w:rFonts w:cstheme="minorHAnsi"/>
        </w:rPr>
        <w:footnoteReference w:id="19"/>
      </w:r>
      <w:r w:rsidR="00EC7C75" w:rsidRPr="00F767EA">
        <w:rPr>
          <w:rFonts w:cstheme="minorHAnsi"/>
        </w:rPr>
        <w:t xml:space="preserve"> </w:t>
      </w:r>
    </w:p>
    <w:p w14:paraId="10C5456C" w14:textId="77777777" w:rsidR="00EC7C75" w:rsidRPr="00F767EA" w:rsidRDefault="00EC7C75" w:rsidP="007C36E4">
      <w:pPr>
        <w:pStyle w:val="mpcNormal"/>
        <w:spacing w:after="0"/>
        <w:rPr>
          <w:rFonts w:cstheme="minorHAnsi"/>
          <w:b/>
          <w:bCs/>
        </w:rPr>
      </w:pPr>
    </w:p>
    <w:p w14:paraId="7B050ADC" w14:textId="19314BCE" w:rsidR="00EC7C75" w:rsidRPr="00F767EA" w:rsidRDefault="00EC7C75" w:rsidP="007C36E4">
      <w:pPr>
        <w:pStyle w:val="mpcNormal"/>
        <w:spacing w:after="0"/>
        <w:rPr>
          <w:rFonts w:cstheme="minorHAnsi"/>
        </w:rPr>
      </w:pPr>
      <w:r w:rsidRPr="00F767EA">
        <w:rPr>
          <w:rFonts w:cstheme="minorHAnsi"/>
        </w:rPr>
        <w:t xml:space="preserve">In addition, stakeholders were mindful </w:t>
      </w:r>
      <w:r w:rsidR="00BC0E45">
        <w:rPr>
          <w:rFonts w:cstheme="minorHAnsi"/>
        </w:rPr>
        <w:t>that</w:t>
      </w:r>
      <w:r w:rsidR="00BC0E45" w:rsidRPr="00F767EA">
        <w:rPr>
          <w:rFonts w:cstheme="minorHAnsi"/>
        </w:rPr>
        <w:t xml:space="preserve"> </w:t>
      </w:r>
      <w:r w:rsidRPr="00F767EA">
        <w:rPr>
          <w:rFonts w:cstheme="minorHAnsi"/>
        </w:rPr>
        <w:t>th</w:t>
      </w:r>
      <w:r w:rsidR="00EF695F">
        <w:rPr>
          <w:rFonts w:cstheme="minorHAnsi"/>
        </w:rPr>
        <w:t>e</w:t>
      </w:r>
      <w:r w:rsidRPr="00F767EA">
        <w:rPr>
          <w:rFonts w:cstheme="minorHAnsi"/>
        </w:rPr>
        <w:t xml:space="preserve"> different features of aged care service delivery </w:t>
      </w:r>
      <w:r w:rsidR="0080285B" w:rsidRPr="00F767EA">
        <w:rPr>
          <w:rFonts w:cstheme="minorHAnsi"/>
        </w:rPr>
        <w:t>mean</w:t>
      </w:r>
      <w:r w:rsidRPr="00F767EA">
        <w:rPr>
          <w:rFonts w:cstheme="minorHAnsi"/>
        </w:rPr>
        <w:t xml:space="preserve"> different behaviours are expected, and that the National Code has clinical references that do not neatly apply to the aged care sector. </w:t>
      </w:r>
    </w:p>
    <w:p w14:paraId="6B2A89D2" w14:textId="77777777" w:rsidR="00984F11" w:rsidRDefault="00984F11" w:rsidP="007C36E4">
      <w:pPr>
        <w:pStyle w:val="mpcheading4"/>
        <w:keepNext/>
        <w:spacing w:after="0"/>
        <w:rPr>
          <w:rFonts w:cstheme="minorHAnsi"/>
        </w:rPr>
      </w:pPr>
      <w:bookmarkStart w:id="45" w:name="_Toc45807957"/>
    </w:p>
    <w:p w14:paraId="126D1511" w14:textId="3C1ACCAB" w:rsidR="00EC7C75" w:rsidRPr="00F767EA" w:rsidRDefault="00EC7C75" w:rsidP="00984F11">
      <w:pPr>
        <w:pStyle w:val="mpcheading4"/>
        <w:spacing w:after="0"/>
        <w:rPr>
          <w:rFonts w:cstheme="minorHAnsi"/>
        </w:rPr>
      </w:pPr>
      <w:bookmarkStart w:id="46" w:name="_Toc49253247"/>
      <w:r w:rsidRPr="00F767EA">
        <w:rPr>
          <w:rFonts w:cstheme="minorHAnsi"/>
        </w:rPr>
        <w:t>Design and implementation considerations</w:t>
      </w:r>
      <w:bookmarkEnd w:id="45"/>
      <w:bookmarkEnd w:id="46"/>
    </w:p>
    <w:p w14:paraId="614850E4" w14:textId="77777777" w:rsidR="00C735EE" w:rsidRDefault="00C735EE" w:rsidP="00984F11">
      <w:pPr>
        <w:rPr>
          <w:rFonts w:cstheme="minorHAnsi"/>
        </w:rPr>
      </w:pPr>
    </w:p>
    <w:p w14:paraId="7DCDDCAD" w14:textId="20DD3509" w:rsidR="00EC7C75" w:rsidRPr="00F767EA" w:rsidRDefault="00EC7C75" w:rsidP="00984F11">
      <w:pPr>
        <w:rPr>
          <w:rFonts w:cstheme="minorHAnsi"/>
        </w:rPr>
      </w:pPr>
      <w:r w:rsidRPr="00F767EA">
        <w:rPr>
          <w:rFonts w:cstheme="minorHAnsi"/>
        </w:rPr>
        <w:t xml:space="preserve">In designing a code of conduct, stakeholders highlighted that it should: </w:t>
      </w:r>
    </w:p>
    <w:p w14:paraId="5D97DF31" w14:textId="77777777" w:rsidR="00EC7C75" w:rsidRPr="00F767EA" w:rsidRDefault="00EC7C75" w:rsidP="00984F11">
      <w:pPr>
        <w:rPr>
          <w:rFonts w:cstheme="minorHAnsi"/>
        </w:rPr>
      </w:pPr>
    </w:p>
    <w:p w14:paraId="265A4EDE" w14:textId="20F407E0" w:rsidR="00EC7C75" w:rsidRPr="00F767EA" w:rsidRDefault="00EC7C75" w:rsidP="00200350">
      <w:pPr>
        <w:pStyle w:val="mpcbullets1"/>
      </w:pPr>
      <w:r w:rsidRPr="00F767EA">
        <w:t>be developed with industry</w:t>
      </w:r>
      <w:r w:rsidR="00077759">
        <w:t xml:space="preserve">, workers and consumers </w:t>
      </w:r>
    </w:p>
    <w:p w14:paraId="71905BFC" w14:textId="77777777" w:rsidR="00EC7C75" w:rsidRPr="00F767EA" w:rsidRDefault="00EC7C75" w:rsidP="00200350">
      <w:pPr>
        <w:pStyle w:val="mpcbullets1"/>
      </w:pPr>
      <w:r w:rsidRPr="00F767EA">
        <w:t xml:space="preserve">complement the existing Aged Care Quality Standards, Charter of Aged Care Rights and applicable human rights </w:t>
      </w:r>
    </w:p>
    <w:p w14:paraId="4A25BB5F" w14:textId="2DC8782F" w:rsidR="00EC7C75" w:rsidRPr="00F767EA" w:rsidRDefault="00EC7C75" w:rsidP="00200350">
      <w:pPr>
        <w:pStyle w:val="mpcbullets1"/>
      </w:pPr>
      <w:r w:rsidRPr="00F767EA">
        <w:t>be concise and simple (including so pe</w:t>
      </w:r>
      <w:r w:rsidR="00077759">
        <w:t xml:space="preserve">ople </w:t>
      </w:r>
      <w:r w:rsidRPr="00F767EA">
        <w:t>with English as a second language can readily understand it) and be more than a high-level statement of expectation.</w:t>
      </w:r>
    </w:p>
    <w:p w14:paraId="249209D9" w14:textId="77777777" w:rsidR="00EC7C75" w:rsidRPr="00F767EA" w:rsidRDefault="00EC7C75" w:rsidP="007C36E4">
      <w:pPr>
        <w:pStyle w:val="mpcNormal"/>
        <w:spacing w:after="0"/>
        <w:rPr>
          <w:rFonts w:cstheme="minorHAnsi"/>
        </w:rPr>
      </w:pPr>
    </w:p>
    <w:p w14:paraId="1190979C" w14:textId="77777777" w:rsidR="00EC7C75" w:rsidRPr="00F767EA" w:rsidRDefault="00EC7C75" w:rsidP="007C36E4">
      <w:pPr>
        <w:pStyle w:val="mpcNormal"/>
        <w:spacing w:after="0"/>
        <w:rPr>
          <w:rFonts w:cstheme="minorHAnsi"/>
        </w:rPr>
      </w:pPr>
      <w:r w:rsidRPr="00F767EA">
        <w:rPr>
          <w:rFonts w:cstheme="minorHAnsi"/>
        </w:rPr>
        <w:t xml:space="preserve">In terms of implementing a code of conduct, stakeholders noted that further work would be required to determine: </w:t>
      </w:r>
    </w:p>
    <w:p w14:paraId="731503FA" w14:textId="77777777" w:rsidR="00EC7C75" w:rsidRPr="00F767EA" w:rsidRDefault="00EC7C75" w:rsidP="007C36E4">
      <w:pPr>
        <w:pStyle w:val="mpcNormal"/>
        <w:spacing w:after="0"/>
        <w:rPr>
          <w:rFonts w:cstheme="minorHAnsi"/>
        </w:rPr>
      </w:pPr>
    </w:p>
    <w:p w14:paraId="08467287" w14:textId="77777777" w:rsidR="00EC7C75" w:rsidRPr="00F767EA" w:rsidRDefault="00EC7C75" w:rsidP="00200350">
      <w:pPr>
        <w:pStyle w:val="mpcbullets1"/>
      </w:pPr>
      <w:r w:rsidRPr="00F767EA">
        <w:t>whether the code would be voluntary at introduction and only become mandatory (and enforceable) after a period of transition</w:t>
      </w:r>
    </w:p>
    <w:p w14:paraId="11A45D51" w14:textId="77777777" w:rsidR="00EC7C75" w:rsidRPr="00F767EA" w:rsidRDefault="00EC7C75" w:rsidP="00200350">
      <w:pPr>
        <w:pStyle w:val="mpcbullets1"/>
      </w:pPr>
      <w:r w:rsidRPr="00F767EA">
        <w:lastRenderedPageBreak/>
        <w:t>whether the code would not only set expectations for engagement with consumers, but also more broadly in relation to family members and carers</w:t>
      </w:r>
    </w:p>
    <w:p w14:paraId="699CAFB6" w14:textId="279B20EF" w:rsidR="00EC7C75" w:rsidRPr="00F767EA" w:rsidRDefault="00EC7C75" w:rsidP="00200350">
      <w:pPr>
        <w:pStyle w:val="mpcbullets1"/>
      </w:pPr>
      <w:r w:rsidRPr="00F767EA">
        <w:t xml:space="preserve">how the code </w:t>
      </w:r>
      <w:r w:rsidR="00077759">
        <w:t xml:space="preserve">(and complaints about workers) </w:t>
      </w:r>
      <w:r w:rsidRPr="00F767EA">
        <w:t xml:space="preserve">would sit alongside complaints about providers (investigated and managed by the ACQS Commission) </w:t>
      </w:r>
    </w:p>
    <w:p w14:paraId="3B0DB74D" w14:textId="358186A7" w:rsidR="00EC7C75" w:rsidRDefault="00EC7C75" w:rsidP="00200350">
      <w:pPr>
        <w:pStyle w:val="mpcbullets1"/>
      </w:pPr>
      <w:r w:rsidRPr="00F767EA">
        <w:t>how to triage complaints about aged care workers that may come under an aged care code of conduct and the National Code (to ensure workers are not subject to action under two codes with different outcomes in respect of the same conduct)</w:t>
      </w:r>
    </w:p>
    <w:p w14:paraId="45179673" w14:textId="27C1FB03" w:rsidR="00F27301" w:rsidRPr="00F767EA" w:rsidRDefault="00F27301" w:rsidP="00200350">
      <w:pPr>
        <w:pStyle w:val="mpcbullets1"/>
      </w:pPr>
      <w:r>
        <w:t xml:space="preserve">what basis the code would have in legislation and </w:t>
      </w:r>
      <w:r w:rsidR="006F3083">
        <w:t xml:space="preserve">how the </w:t>
      </w:r>
      <w:r>
        <w:t>aged care legislation</w:t>
      </w:r>
      <w:r w:rsidR="006F3083">
        <w:t xml:space="preserve"> could be changed</w:t>
      </w:r>
      <w:r>
        <w:t xml:space="preserve"> to regulate individual workers in relation to the code </w:t>
      </w:r>
    </w:p>
    <w:p w14:paraId="183DEB2D" w14:textId="77777777" w:rsidR="00EC7C75" w:rsidRPr="00F767EA" w:rsidRDefault="00EC7C75" w:rsidP="00200350">
      <w:pPr>
        <w:pStyle w:val="mpcbullets1"/>
      </w:pPr>
      <w:r w:rsidRPr="00F767EA">
        <w:t>how the code would sit alongside provider established organisational codes of conduct, and whether there would be flexibility for providers to enhance and shape the code to reflect the culture and mission of their organisation</w:t>
      </w:r>
    </w:p>
    <w:p w14:paraId="1A73EDE6" w14:textId="77777777" w:rsidR="00EC7C75" w:rsidRPr="00F767EA" w:rsidRDefault="00EC7C75" w:rsidP="00200350">
      <w:pPr>
        <w:pStyle w:val="mpcbullets1"/>
      </w:pPr>
      <w:r w:rsidRPr="00F767EA">
        <w:t xml:space="preserve">whether employers would be required to investigate breaches of the code in the first instance and report back to a national body, or whether the matter is taken up directly by the national body to investigate with the worker </w:t>
      </w:r>
    </w:p>
    <w:p w14:paraId="6C7A4E25" w14:textId="77777777" w:rsidR="00EC7C75" w:rsidRPr="00F767EA" w:rsidRDefault="00EC7C75" w:rsidP="00200350">
      <w:pPr>
        <w:pStyle w:val="mpcbullets1"/>
      </w:pPr>
      <w:r w:rsidRPr="00F767EA">
        <w:t xml:space="preserve">what avenues of appeal and procedural fairness would be afforded to workers. </w:t>
      </w:r>
    </w:p>
    <w:p w14:paraId="2B14C71F" w14:textId="77777777" w:rsidR="00EC7C75" w:rsidRPr="00F767EA" w:rsidRDefault="00EC7C75" w:rsidP="007C36E4">
      <w:pPr>
        <w:pStyle w:val="mpcNormal"/>
        <w:spacing w:after="0"/>
        <w:rPr>
          <w:rFonts w:cstheme="minorHAnsi"/>
          <w:highlight w:val="yellow"/>
        </w:rPr>
      </w:pPr>
    </w:p>
    <w:p w14:paraId="5727B678" w14:textId="560950C6" w:rsidR="00EC7C75" w:rsidRPr="00F767EA" w:rsidRDefault="00EC7C75" w:rsidP="007C36E4">
      <w:pPr>
        <w:rPr>
          <w:rFonts w:cstheme="minorHAnsi"/>
        </w:rPr>
      </w:pPr>
      <w:r w:rsidRPr="00F767EA">
        <w:rPr>
          <w:rFonts w:cstheme="minorHAnsi"/>
        </w:rPr>
        <w:t xml:space="preserve">Stakeholders also </w:t>
      </w:r>
      <w:r w:rsidR="00077759">
        <w:rPr>
          <w:rFonts w:cstheme="minorHAnsi"/>
        </w:rPr>
        <w:t>raised questions a</w:t>
      </w:r>
      <w:r w:rsidRPr="00F767EA">
        <w:rPr>
          <w:rFonts w:cstheme="minorHAnsi"/>
        </w:rPr>
        <w:t>bout the enforcement of such a code and consequences of breaching the code and flagged a number of questions to be resolved as part of the design and implementation of the preferred approach to worker regulation more generally. For example:</w:t>
      </w:r>
    </w:p>
    <w:p w14:paraId="298FFB01" w14:textId="77777777" w:rsidR="00EC7C75" w:rsidRPr="00F767EA" w:rsidRDefault="00EC7C75" w:rsidP="007C36E4">
      <w:pPr>
        <w:pStyle w:val="mpcNormal"/>
        <w:spacing w:after="0"/>
        <w:rPr>
          <w:rFonts w:cstheme="minorHAnsi"/>
        </w:rPr>
      </w:pPr>
    </w:p>
    <w:p w14:paraId="139D0DF0" w14:textId="77777777" w:rsidR="00EC7C75" w:rsidRPr="00F767EA" w:rsidRDefault="00EC7C75" w:rsidP="00200350">
      <w:pPr>
        <w:pStyle w:val="mpcbullets1"/>
      </w:pPr>
      <w:r w:rsidRPr="00F767EA">
        <w:t>What would be the threshold for investigation of possible breaches of the code and for enforcement of an identified breach? For example, where there is ‘serious risk’ or ‘potential harm’ to consumers.</w:t>
      </w:r>
    </w:p>
    <w:p w14:paraId="0B2C68FD" w14:textId="6AD6241D" w:rsidR="00EC7C75" w:rsidRPr="00F767EA" w:rsidRDefault="00EC7C75" w:rsidP="00200350">
      <w:pPr>
        <w:pStyle w:val="mpcbullets1"/>
      </w:pPr>
      <w:r w:rsidRPr="00F767EA">
        <w:t xml:space="preserve">What would be the outcome </w:t>
      </w:r>
      <w:r w:rsidR="00295222">
        <w:t>following a</w:t>
      </w:r>
      <w:r w:rsidR="00295222" w:rsidRPr="00F767EA">
        <w:t xml:space="preserve"> </w:t>
      </w:r>
      <w:r w:rsidRPr="00F767EA">
        <w:t>breach of the code? For example, notice to the employer, requirements for further training, conditions on work, or removal from the industry</w:t>
      </w:r>
      <w:r w:rsidR="00077759">
        <w:t xml:space="preserve"> (on a short term o</w:t>
      </w:r>
      <w:r w:rsidR="00BC0E45">
        <w:t>r</w:t>
      </w:r>
      <w:r w:rsidR="00077759">
        <w:t xml:space="preserve"> permanent basis)</w:t>
      </w:r>
      <w:r w:rsidR="00295222">
        <w:t>?</w:t>
      </w:r>
      <w:r w:rsidRPr="00F767EA">
        <w:t xml:space="preserve"> </w:t>
      </w:r>
    </w:p>
    <w:p w14:paraId="41C4593F" w14:textId="343450B7" w:rsidR="00EC7C75" w:rsidRPr="00F767EA" w:rsidRDefault="00EC7C75" w:rsidP="00200350">
      <w:pPr>
        <w:pStyle w:val="mpcbullets1"/>
      </w:pPr>
      <w:r w:rsidRPr="00F767EA">
        <w:t xml:space="preserve">Could employers use the code as a basis </w:t>
      </w:r>
      <w:r w:rsidR="00BC0E45">
        <w:t>for</w:t>
      </w:r>
      <w:r w:rsidR="00BC0E45" w:rsidRPr="00F767EA">
        <w:t xml:space="preserve"> </w:t>
      </w:r>
      <w:r w:rsidRPr="00F767EA">
        <w:t>disciplinary conduct and termination?</w:t>
      </w:r>
    </w:p>
    <w:p w14:paraId="24A0AD97" w14:textId="77777777" w:rsidR="00EC7C75" w:rsidRPr="00F767EA" w:rsidRDefault="00EC7C75" w:rsidP="00200350">
      <w:pPr>
        <w:pStyle w:val="mpcbullets1"/>
      </w:pPr>
      <w:r w:rsidRPr="00F767EA">
        <w:t>Would employers be required to enquire about the history of any code breaches with a consolidated national body prior to offering employment?</w:t>
      </w:r>
    </w:p>
    <w:p w14:paraId="58251D65" w14:textId="3FD1CAE2" w:rsidR="006E7A7F" w:rsidRDefault="006E7A7F" w:rsidP="007C36E4">
      <w:pPr>
        <w:rPr>
          <w:rFonts w:cstheme="minorHAnsi"/>
        </w:rPr>
      </w:pPr>
      <w:r>
        <w:rPr>
          <w:rFonts w:cstheme="minorHAnsi"/>
        </w:rPr>
        <w:br w:type="page"/>
      </w:r>
    </w:p>
    <w:p w14:paraId="6E610CAD" w14:textId="77777777" w:rsidR="004A62E6" w:rsidRDefault="004A62E6" w:rsidP="007C36E4">
      <w:pPr>
        <w:rPr>
          <w:rFonts w:cstheme="minorHAnsi"/>
        </w:rPr>
      </w:pPr>
    </w:p>
    <w:p w14:paraId="22E58934" w14:textId="77777777" w:rsidR="004A62E6" w:rsidRPr="00AC5AD4" w:rsidRDefault="004A62E6" w:rsidP="007C36E4">
      <w:pPr>
        <w:pStyle w:val="mpcheading2"/>
        <w:keepNext/>
        <w:shd w:val="clear" w:color="auto" w:fill="auto"/>
        <w:spacing w:after="0"/>
        <w:rPr>
          <w:color w:val="auto"/>
        </w:rPr>
      </w:pPr>
      <w:bookmarkStart w:id="47" w:name="_Toc45807958"/>
      <w:bookmarkStart w:id="48" w:name="_Toc49253248"/>
      <w:r w:rsidRPr="00A65318">
        <w:rPr>
          <w:color w:val="auto"/>
        </w:rPr>
        <w:t>Mutual recognition</w:t>
      </w:r>
      <w:bookmarkEnd w:id="47"/>
      <w:bookmarkEnd w:id="48"/>
      <w:r w:rsidRPr="00AC5AD4">
        <w:rPr>
          <w:color w:val="auto"/>
        </w:rPr>
        <w:t xml:space="preserve"> </w:t>
      </w:r>
    </w:p>
    <w:p w14:paraId="5ACD5DBD" w14:textId="77777777" w:rsidR="004A62E6" w:rsidRPr="00F767EA" w:rsidRDefault="004A62E6" w:rsidP="007C36E4">
      <w:pPr>
        <w:keepNext/>
        <w:rPr>
          <w:rFonts w:cstheme="minorHAnsi"/>
        </w:rPr>
      </w:pPr>
    </w:p>
    <w:p w14:paraId="1392114D" w14:textId="4D60EEB0" w:rsidR="004A62E6" w:rsidRPr="00F767EA" w:rsidRDefault="008F0924" w:rsidP="007C36E4">
      <w:pPr>
        <w:pStyle w:val="mpcbullets1"/>
        <w:numPr>
          <w:ilvl w:val="0"/>
          <w:numId w:val="0"/>
        </w:numPr>
        <w:rPr>
          <w:rFonts w:cstheme="minorHAnsi"/>
        </w:rPr>
      </w:pPr>
      <w:r>
        <w:rPr>
          <w:rFonts w:cstheme="minorHAnsi"/>
        </w:rPr>
        <w:t>Opportunities for m</w:t>
      </w:r>
      <w:r w:rsidR="004A62E6" w:rsidRPr="00F767EA">
        <w:rPr>
          <w:rFonts w:cstheme="minorHAnsi"/>
        </w:rPr>
        <w:t>utual recognition</w:t>
      </w:r>
      <w:r w:rsidR="001D2F0F">
        <w:rPr>
          <w:rFonts w:cstheme="minorHAnsi"/>
        </w:rPr>
        <w:t xml:space="preserve"> w</w:t>
      </w:r>
      <w:r>
        <w:rPr>
          <w:rFonts w:cstheme="minorHAnsi"/>
        </w:rPr>
        <w:t>ere</w:t>
      </w:r>
      <w:r w:rsidR="001D2F0F">
        <w:rPr>
          <w:rFonts w:cstheme="minorHAnsi"/>
        </w:rPr>
        <w:t xml:space="preserve"> strongly supported</w:t>
      </w:r>
      <w:r>
        <w:rPr>
          <w:rFonts w:cstheme="minorHAnsi"/>
        </w:rPr>
        <w:t xml:space="preserve"> by </w:t>
      </w:r>
      <w:r w:rsidR="00F80AD1">
        <w:rPr>
          <w:rFonts w:cstheme="minorHAnsi"/>
        </w:rPr>
        <w:t xml:space="preserve">many </w:t>
      </w:r>
      <w:r>
        <w:rPr>
          <w:rFonts w:cstheme="minorHAnsi"/>
        </w:rPr>
        <w:t>stakeholders</w:t>
      </w:r>
      <w:r w:rsidR="001D2F0F">
        <w:rPr>
          <w:rFonts w:cstheme="minorHAnsi"/>
        </w:rPr>
        <w:t xml:space="preserve"> as</w:t>
      </w:r>
      <w:r w:rsidR="004A62E6" w:rsidRPr="00F767EA">
        <w:rPr>
          <w:rFonts w:cstheme="minorHAnsi"/>
        </w:rPr>
        <w:t xml:space="preserve"> present</w:t>
      </w:r>
      <w:r w:rsidR="001D2F0F">
        <w:rPr>
          <w:rFonts w:cstheme="minorHAnsi"/>
        </w:rPr>
        <w:t>ing</w:t>
      </w:r>
      <w:r w:rsidR="004A62E6" w:rsidRPr="00F767EA">
        <w:rPr>
          <w:rFonts w:cstheme="minorHAnsi"/>
        </w:rPr>
        <w:t xml:space="preserve"> efficiencies and reduc</w:t>
      </w:r>
      <w:r w:rsidR="001D2F0F">
        <w:rPr>
          <w:rFonts w:cstheme="minorHAnsi"/>
        </w:rPr>
        <w:t>ing</w:t>
      </w:r>
      <w:r w:rsidR="004A62E6" w:rsidRPr="00F767EA">
        <w:rPr>
          <w:rFonts w:cstheme="minorHAnsi"/>
        </w:rPr>
        <w:t xml:space="preserve"> barriers for workers to work across similar sectors. </w:t>
      </w:r>
    </w:p>
    <w:p w14:paraId="0FB07E27" w14:textId="77777777" w:rsidR="008F0924" w:rsidRPr="00F767EA" w:rsidRDefault="008F0924" w:rsidP="007C36E4">
      <w:pPr>
        <w:pStyle w:val="mpcbullets1"/>
        <w:numPr>
          <w:ilvl w:val="0"/>
          <w:numId w:val="0"/>
        </w:numPr>
        <w:rPr>
          <w:rFonts w:cstheme="minorHAnsi"/>
        </w:rPr>
      </w:pPr>
    </w:p>
    <w:p w14:paraId="60D7E75B" w14:textId="541A42CA" w:rsidR="008F0924" w:rsidRDefault="004A62E6" w:rsidP="007C36E4">
      <w:pPr>
        <w:pStyle w:val="mpcbullets1"/>
        <w:numPr>
          <w:ilvl w:val="0"/>
          <w:numId w:val="0"/>
        </w:numPr>
        <w:rPr>
          <w:rFonts w:cstheme="minorHAnsi"/>
        </w:rPr>
      </w:pPr>
      <w:r w:rsidRPr="00F767EA">
        <w:rPr>
          <w:rFonts w:cstheme="minorHAnsi"/>
        </w:rPr>
        <w:t xml:space="preserve">Mutual recognition with the NDIS was </w:t>
      </w:r>
      <w:r w:rsidR="008F0924">
        <w:rPr>
          <w:rFonts w:cstheme="minorHAnsi"/>
        </w:rPr>
        <w:t xml:space="preserve">supported by </w:t>
      </w:r>
      <w:r w:rsidR="00F80AD1">
        <w:rPr>
          <w:rFonts w:cstheme="minorHAnsi"/>
        </w:rPr>
        <w:t xml:space="preserve">nearly </w:t>
      </w:r>
      <w:r w:rsidR="008F0924">
        <w:rPr>
          <w:rFonts w:cstheme="minorHAnsi"/>
        </w:rPr>
        <w:t xml:space="preserve">half of the respondents, who </w:t>
      </w:r>
      <w:r w:rsidRPr="00F767EA">
        <w:rPr>
          <w:rFonts w:cstheme="minorHAnsi"/>
        </w:rPr>
        <w:t>not</w:t>
      </w:r>
      <w:r w:rsidR="008F0924">
        <w:rPr>
          <w:rFonts w:cstheme="minorHAnsi"/>
        </w:rPr>
        <w:t>ed</w:t>
      </w:r>
      <w:r w:rsidRPr="00F767EA">
        <w:rPr>
          <w:rFonts w:cstheme="minorHAnsi"/>
        </w:rPr>
        <w:t xml:space="preserve"> the increasing demand for disability support workers and aged care workers, in particular in the home care environment where service providers will often employ support workers to attend to both older clients and those with disabilities. </w:t>
      </w:r>
    </w:p>
    <w:p w14:paraId="5FEB4253" w14:textId="69060235" w:rsidR="004A62E6" w:rsidRDefault="004A62E6" w:rsidP="007C36E4">
      <w:pPr>
        <w:keepNext/>
        <w:rPr>
          <w:rFonts w:cstheme="minorHAnsi"/>
        </w:rPr>
      </w:pPr>
    </w:p>
    <w:p w14:paraId="08C6EBFD" w14:textId="77777777" w:rsidR="008F0924" w:rsidRPr="00F767EA" w:rsidRDefault="008F0924" w:rsidP="006E7A7F">
      <w:pPr>
        <w:pStyle w:val="mpcbullets1"/>
        <w:keepNext/>
        <w:numPr>
          <w:ilvl w:val="0"/>
          <w:numId w:val="0"/>
        </w:numPr>
        <w:rPr>
          <w:rFonts w:cstheme="minorHAnsi"/>
          <w:b/>
          <w:bCs/>
        </w:rPr>
      </w:pPr>
      <w:r w:rsidRPr="00F767EA">
        <w:rPr>
          <w:rFonts w:cstheme="minorHAnsi"/>
          <w:b/>
          <w:bCs/>
        </w:rPr>
        <w:t xml:space="preserve">Disability sector </w:t>
      </w:r>
    </w:p>
    <w:p w14:paraId="2CAD208F" w14:textId="77777777" w:rsidR="008F0924" w:rsidRPr="00F767EA" w:rsidRDefault="008F0924" w:rsidP="006E7A7F">
      <w:pPr>
        <w:keepNext/>
        <w:rPr>
          <w:rFonts w:cstheme="minorHAnsi"/>
        </w:rPr>
      </w:pPr>
    </w:p>
    <w:p w14:paraId="5F5C5A2B" w14:textId="77777777" w:rsidR="004A62E6" w:rsidRPr="00F767EA" w:rsidRDefault="004A62E6" w:rsidP="007C36E4">
      <w:pPr>
        <w:pStyle w:val="mpcNormal"/>
        <w:keepNext/>
        <w:pBdr>
          <w:top w:val="single" w:sz="4" w:space="1" w:color="auto"/>
          <w:left w:val="single" w:sz="4" w:space="4" w:color="auto"/>
          <w:bottom w:val="single" w:sz="4" w:space="1" w:color="auto"/>
          <w:right w:val="single" w:sz="4" w:space="4" w:color="auto"/>
        </w:pBdr>
        <w:shd w:val="clear" w:color="auto" w:fill="F2F2F2" w:themeFill="background1" w:themeFillShade="F2"/>
        <w:spacing w:after="0"/>
        <w:rPr>
          <w:rFonts w:cstheme="minorHAnsi"/>
        </w:rPr>
      </w:pPr>
      <w:r w:rsidRPr="00F767EA">
        <w:rPr>
          <w:rFonts w:cstheme="minorHAnsi"/>
        </w:rPr>
        <w:t>Of the stakeholders responding to online consultation:</w:t>
      </w:r>
    </w:p>
    <w:p w14:paraId="74FC12A9" w14:textId="77777777" w:rsidR="004A62E6" w:rsidRPr="00F767EA" w:rsidRDefault="004A62E6" w:rsidP="007C36E4">
      <w:pPr>
        <w:pStyle w:val="mpcNormal"/>
        <w:keepNext/>
        <w:pBdr>
          <w:top w:val="single" w:sz="4" w:space="1" w:color="auto"/>
          <w:left w:val="single" w:sz="4" w:space="4" w:color="auto"/>
          <w:bottom w:val="single" w:sz="4" w:space="1" w:color="auto"/>
          <w:right w:val="single" w:sz="4" w:space="4" w:color="auto"/>
        </w:pBdr>
        <w:shd w:val="clear" w:color="auto" w:fill="F2F2F2" w:themeFill="background1" w:themeFillShade="F2"/>
        <w:spacing w:after="0"/>
        <w:rPr>
          <w:rFonts w:cstheme="minorHAnsi"/>
        </w:rPr>
      </w:pPr>
    </w:p>
    <w:p w14:paraId="0564E4F2" w14:textId="77777777" w:rsidR="004A62E6" w:rsidRPr="00F767EA" w:rsidRDefault="004A62E6" w:rsidP="007C36E4">
      <w:pPr>
        <w:pStyle w:val="mpcbullets1"/>
        <w:keepNext/>
        <w:pBdr>
          <w:top w:val="single" w:sz="4" w:space="1" w:color="auto"/>
          <w:left w:val="single" w:sz="4" w:space="4" w:color="auto"/>
          <w:bottom w:val="single" w:sz="4" w:space="1" w:color="auto"/>
          <w:right w:val="single" w:sz="4" w:space="4" w:color="auto"/>
        </w:pBdr>
        <w:shd w:val="clear" w:color="auto" w:fill="F2F2F2" w:themeFill="background1" w:themeFillShade="F2"/>
        <w:contextualSpacing/>
        <w:rPr>
          <w:rFonts w:cstheme="minorHAnsi"/>
        </w:rPr>
      </w:pPr>
      <w:r w:rsidRPr="00F767EA">
        <w:rPr>
          <w:rFonts w:cstheme="minorHAnsi"/>
        </w:rPr>
        <w:t xml:space="preserve">46% selected ‘Yes’ when asked whether they supported a person cleared to work in disability, to be automatically cleared to work in aged care </w:t>
      </w:r>
    </w:p>
    <w:p w14:paraId="0AAFBBA9" w14:textId="77777777" w:rsidR="004A62E6" w:rsidRPr="00F767EA" w:rsidRDefault="004A62E6" w:rsidP="007C36E4">
      <w:pPr>
        <w:pStyle w:val="mpcbullets1"/>
        <w:keepNext/>
        <w:pBdr>
          <w:top w:val="single" w:sz="4" w:space="1" w:color="auto"/>
          <w:left w:val="single" w:sz="4" w:space="4" w:color="auto"/>
          <w:bottom w:val="single" w:sz="4" w:space="1" w:color="auto"/>
          <w:right w:val="single" w:sz="4" w:space="4" w:color="auto"/>
        </w:pBdr>
        <w:shd w:val="clear" w:color="auto" w:fill="F2F2F2" w:themeFill="background1" w:themeFillShade="F2"/>
        <w:contextualSpacing/>
        <w:rPr>
          <w:rFonts w:cstheme="minorHAnsi"/>
        </w:rPr>
      </w:pPr>
      <w:r w:rsidRPr="00F767EA">
        <w:rPr>
          <w:rFonts w:cstheme="minorHAnsi"/>
        </w:rPr>
        <w:t>40% selected ‘No’</w:t>
      </w:r>
    </w:p>
    <w:p w14:paraId="12BEE829" w14:textId="77777777" w:rsidR="004A62E6" w:rsidRPr="00F767EA" w:rsidRDefault="004A62E6" w:rsidP="007C36E4">
      <w:pPr>
        <w:pStyle w:val="mpcbullets1"/>
        <w:pBdr>
          <w:top w:val="single" w:sz="4" w:space="1" w:color="auto"/>
          <w:left w:val="single" w:sz="4" w:space="4" w:color="auto"/>
          <w:bottom w:val="single" w:sz="4" w:space="1" w:color="auto"/>
          <w:right w:val="single" w:sz="4" w:space="4" w:color="auto"/>
        </w:pBdr>
        <w:shd w:val="clear" w:color="auto" w:fill="F2F2F2" w:themeFill="background1" w:themeFillShade="F2"/>
        <w:contextualSpacing/>
        <w:rPr>
          <w:rFonts w:cstheme="minorHAnsi"/>
        </w:rPr>
      </w:pPr>
      <w:r w:rsidRPr="00F767EA">
        <w:rPr>
          <w:rFonts w:cstheme="minorHAnsi"/>
        </w:rPr>
        <w:t>14% did not answer.</w:t>
      </w:r>
    </w:p>
    <w:p w14:paraId="233DEBDA" w14:textId="77777777" w:rsidR="004A62E6" w:rsidRPr="00F767EA" w:rsidRDefault="004A62E6" w:rsidP="007C36E4">
      <w:pPr>
        <w:pStyle w:val="mpcbullets1"/>
        <w:numPr>
          <w:ilvl w:val="0"/>
          <w:numId w:val="0"/>
        </w:numPr>
        <w:rPr>
          <w:rFonts w:cstheme="minorHAnsi"/>
        </w:rPr>
      </w:pPr>
    </w:p>
    <w:p w14:paraId="198DCE3C" w14:textId="41C7938D" w:rsidR="004A62E6" w:rsidRPr="00E95B18" w:rsidRDefault="00114507" w:rsidP="007C36E4">
      <w:pPr>
        <w:pStyle w:val="mpcbullets1"/>
        <w:numPr>
          <w:ilvl w:val="0"/>
          <w:numId w:val="0"/>
        </w:numPr>
        <w:rPr>
          <w:rFonts w:cstheme="minorHAnsi"/>
        </w:rPr>
      </w:pPr>
      <w:r>
        <w:rPr>
          <w:rFonts w:cstheme="minorHAnsi"/>
        </w:rPr>
        <w:t>As described above, the</w:t>
      </w:r>
      <w:r w:rsidR="00591EE5">
        <w:rPr>
          <w:rFonts w:cstheme="minorHAnsi"/>
        </w:rPr>
        <w:t xml:space="preserve"> NDIS</w:t>
      </w:r>
      <w:r w:rsidR="004A62E6" w:rsidRPr="00F767EA">
        <w:rPr>
          <w:rFonts w:cstheme="minorHAnsi"/>
        </w:rPr>
        <w:t xml:space="preserve"> has a comprehensive criminal and risk assessment model</w:t>
      </w:r>
      <w:r>
        <w:rPr>
          <w:rFonts w:cstheme="minorHAnsi"/>
        </w:rPr>
        <w:t xml:space="preserve"> (consistent with the matters stakeholders would like to see considered in aged care)</w:t>
      </w:r>
      <w:r w:rsidR="004A62E6" w:rsidRPr="00F767EA">
        <w:rPr>
          <w:rFonts w:cstheme="minorHAnsi"/>
        </w:rPr>
        <w:t xml:space="preserve">, with a complementary NDIS Code that </w:t>
      </w:r>
      <w:r>
        <w:rPr>
          <w:rFonts w:cstheme="minorHAnsi"/>
        </w:rPr>
        <w:t xml:space="preserve">informs worker </w:t>
      </w:r>
      <w:r w:rsidR="004A62E6" w:rsidRPr="00F767EA">
        <w:rPr>
          <w:rFonts w:cstheme="minorHAnsi"/>
        </w:rPr>
        <w:t>risk assessments. It also has a positive register</w:t>
      </w:r>
      <w:r>
        <w:rPr>
          <w:rFonts w:cstheme="minorHAnsi"/>
        </w:rPr>
        <w:t>,</w:t>
      </w:r>
      <w:r w:rsidR="004A62E6" w:rsidRPr="00F767EA">
        <w:rPr>
          <w:rFonts w:cstheme="minorHAnsi"/>
        </w:rPr>
        <w:t xml:space="preserve"> </w:t>
      </w:r>
      <w:r>
        <w:rPr>
          <w:rFonts w:cstheme="minorHAnsi"/>
        </w:rPr>
        <w:t>that reflects the</w:t>
      </w:r>
      <w:r w:rsidR="004A62E6" w:rsidRPr="00F767EA">
        <w:rPr>
          <w:rFonts w:cstheme="minorHAnsi"/>
        </w:rPr>
        <w:t xml:space="preserve"> clearance outcomes it consolidates from WSUs</w:t>
      </w:r>
      <w:r>
        <w:rPr>
          <w:rFonts w:cstheme="minorHAnsi"/>
        </w:rPr>
        <w:t>,</w:t>
      </w:r>
      <w:r w:rsidR="004A62E6" w:rsidRPr="00F767EA">
        <w:rPr>
          <w:rFonts w:cstheme="minorHAnsi"/>
        </w:rPr>
        <w:t xml:space="preserve"> for employers to access and confirm </w:t>
      </w:r>
      <w:r>
        <w:rPr>
          <w:rFonts w:cstheme="minorHAnsi"/>
        </w:rPr>
        <w:t xml:space="preserve">worker </w:t>
      </w:r>
      <w:r w:rsidR="004A62E6" w:rsidRPr="00F767EA">
        <w:rPr>
          <w:rFonts w:cstheme="minorHAnsi"/>
        </w:rPr>
        <w:t xml:space="preserve">clearance, and a negative list for those NDIS providers and workers who are subject to a banning </w:t>
      </w:r>
      <w:r w:rsidR="004A62E6" w:rsidRPr="00E95B18">
        <w:rPr>
          <w:rFonts w:cstheme="minorHAnsi"/>
        </w:rPr>
        <w:t xml:space="preserve">order. </w:t>
      </w:r>
    </w:p>
    <w:p w14:paraId="6EFE0B06" w14:textId="77777777" w:rsidR="004A62E6" w:rsidRPr="00E95B18" w:rsidRDefault="004A62E6" w:rsidP="007C36E4">
      <w:pPr>
        <w:pStyle w:val="mpcbullets1"/>
        <w:numPr>
          <w:ilvl w:val="0"/>
          <w:numId w:val="0"/>
        </w:numPr>
        <w:rPr>
          <w:rFonts w:cstheme="minorHAnsi"/>
        </w:rPr>
      </w:pPr>
    </w:p>
    <w:p w14:paraId="22F9CFBB" w14:textId="7CD0AC2A" w:rsidR="004A62E6" w:rsidRPr="00F767EA" w:rsidRDefault="00591EE5" w:rsidP="007C36E4">
      <w:pPr>
        <w:pStyle w:val="mpcbullets1"/>
        <w:numPr>
          <w:ilvl w:val="0"/>
          <w:numId w:val="0"/>
        </w:numPr>
        <w:rPr>
          <w:rFonts w:cstheme="minorHAnsi"/>
        </w:rPr>
      </w:pPr>
      <w:r w:rsidRPr="00E95B18">
        <w:rPr>
          <w:rFonts w:cstheme="minorHAnsi"/>
        </w:rPr>
        <w:t xml:space="preserve">The </w:t>
      </w:r>
      <w:r w:rsidR="004A62E6" w:rsidRPr="00E95B18">
        <w:rPr>
          <w:rFonts w:cstheme="minorHAnsi"/>
        </w:rPr>
        <w:t>NDIS is</w:t>
      </w:r>
      <w:r w:rsidRPr="00E95B18">
        <w:rPr>
          <w:rFonts w:cstheme="minorHAnsi"/>
        </w:rPr>
        <w:t xml:space="preserve"> similarly</w:t>
      </w:r>
      <w:r w:rsidR="004A62E6" w:rsidRPr="00E95B18">
        <w:rPr>
          <w:rFonts w:cstheme="minorHAnsi"/>
        </w:rPr>
        <w:t xml:space="preserve"> looking to incorporate consideration of</w:t>
      </w:r>
      <w:r w:rsidR="002C675C">
        <w:rPr>
          <w:rFonts w:cstheme="minorHAnsi"/>
        </w:rPr>
        <w:t xml:space="preserve"> </w:t>
      </w:r>
      <w:r w:rsidR="00FF00CD">
        <w:rPr>
          <w:rFonts w:cstheme="minorHAnsi"/>
        </w:rPr>
        <w:t xml:space="preserve">information about </w:t>
      </w:r>
      <w:r w:rsidR="00853CD7">
        <w:rPr>
          <w:rFonts w:cstheme="minorHAnsi"/>
        </w:rPr>
        <w:t xml:space="preserve">a person’s </w:t>
      </w:r>
      <w:r w:rsidR="002C675C">
        <w:rPr>
          <w:rFonts w:cstheme="minorHAnsi"/>
        </w:rPr>
        <w:t>work in</w:t>
      </w:r>
      <w:r w:rsidR="004A62E6" w:rsidRPr="00E95B18">
        <w:rPr>
          <w:rFonts w:cstheme="minorHAnsi"/>
        </w:rPr>
        <w:t xml:space="preserve"> aged care into its assessments of </w:t>
      </w:r>
      <w:r w:rsidR="00ED6A4C" w:rsidRPr="00E95B18">
        <w:rPr>
          <w:rFonts w:cstheme="minorHAnsi"/>
        </w:rPr>
        <w:t xml:space="preserve">the suitability of a person to work in the </w:t>
      </w:r>
      <w:r w:rsidR="004A62E6" w:rsidRPr="00E95B18">
        <w:rPr>
          <w:rFonts w:cstheme="minorHAnsi"/>
        </w:rPr>
        <w:t xml:space="preserve">disability </w:t>
      </w:r>
      <w:r w:rsidR="00ED6A4C" w:rsidRPr="00E95B18">
        <w:rPr>
          <w:rFonts w:cstheme="minorHAnsi"/>
        </w:rPr>
        <w:t>sector</w:t>
      </w:r>
      <w:r w:rsidR="004A62E6" w:rsidRPr="00E95B18">
        <w:rPr>
          <w:rFonts w:cstheme="minorHAnsi"/>
        </w:rPr>
        <w:t xml:space="preserve">. Legislation is currently before Federal Parliament to allow </w:t>
      </w:r>
      <w:r w:rsidR="00ED6A4C" w:rsidRPr="00E95B18">
        <w:rPr>
          <w:rFonts w:cstheme="minorHAnsi"/>
        </w:rPr>
        <w:t>banning orders to be pre-emptively made against a person on the basis of information about their suitability and conduct in other sectors, and to</w:t>
      </w:r>
      <w:r w:rsidR="004A62E6" w:rsidRPr="00E95B18">
        <w:rPr>
          <w:rFonts w:cstheme="minorHAnsi"/>
        </w:rPr>
        <w:t xml:space="preserve"> ban</w:t>
      </w:r>
      <w:r w:rsidR="00ED6A4C" w:rsidRPr="00E95B18">
        <w:rPr>
          <w:rFonts w:cstheme="minorHAnsi"/>
        </w:rPr>
        <w:t xml:space="preserve"> them</w:t>
      </w:r>
      <w:r w:rsidR="004A62E6" w:rsidRPr="00E95B18">
        <w:rPr>
          <w:rFonts w:cstheme="minorHAnsi"/>
        </w:rPr>
        <w:t xml:space="preserve"> from working </w:t>
      </w:r>
      <w:r w:rsidR="00ED6A4C" w:rsidRPr="00E95B18">
        <w:rPr>
          <w:rFonts w:cstheme="minorHAnsi"/>
        </w:rPr>
        <w:t>in disability</w:t>
      </w:r>
      <w:r w:rsidR="004A62E6" w:rsidRPr="00E95B18">
        <w:rPr>
          <w:rFonts w:cstheme="minorHAnsi"/>
        </w:rPr>
        <w:t>.</w:t>
      </w:r>
      <w:r w:rsidR="004A62E6" w:rsidRPr="00E95B18">
        <w:rPr>
          <w:rStyle w:val="FootnoteReference"/>
          <w:rFonts w:cstheme="minorHAnsi"/>
        </w:rPr>
        <w:footnoteReference w:id="20"/>
      </w:r>
    </w:p>
    <w:p w14:paraId="64A2F7CC" w14:textId="77777777" w:rsidR="004A62E6" w:rsidRPr="00F767EA" w:rsidRDefault="004A62E6" w:rsidP="007C36E4">
      <w:pPr>
        <w:pStyle w:val="mpcbullets1"/>
        <w:numPr>
          <w:ilvl w:val="0"/>
          <w:numId w:val="0"/>
        </w:numPr>
        <w:rPr>
          <w:rFonts w:cstheme="minorHAnsi"/>
        </w:rPr>
      </w:pPr>
    </w:p>
    <w:p w14:paraId="5B093628" w14:textId="7A959185" w:rsidR="004A62E6" w:rsidRDefault="004A62E6" w:rsidP="007C36E4">
      <w:pPr>
        <w:pStyle w:val="mpcbullets1"/>
        <w:numPr>
          <w:ilvl w:val="0"/>
          <w:numId w:val="0"/>
        </w:numPr>
        <w:rPr>
          <w:rFonts w:cstheme="minorHAnsi"/>
        </w:rPr>
      </w:pPr>
      <w:r w:rsidRPr="00F767EA">
        <w:rPr>
          <w:rFonts w:cstheme="minorHAnsi"/>
        </w:rPr>
        <w:t xml:space="preserve">Many stakeholders noted that ideally, the two sectors would become harmonised and achieve a single worker regulation scheme </w:t>
      </w:r>
      <w:r w:rsidRPr="00097627">
        <w:rPr>
          <w:rFonts w:cstheme="minorHAnsi"/>
        </w:rPr>
        <w:t xml:space="preserve">that could potentially include </w:t>
      </w:r>
      <w:r w:rsidR="00097627">
        <w:rPr>
          <w:rFonts w:cstheme="minorHAnsi"/>
        </w:rPr>
        <w:t>health</w:t>
      </w:r>
      <w:r w:rsidRPr="00097627">
        <w:rPr>
          <w:rFonts w:cstheme="minorHAnsi"/>
        </w:rPr>
        <w:t xml:space="preserve"> in the future. However, stakeholders did flag that even within disability, there was still some fragmentation between the jurisdictions as the NDIS continues to roll out and taking into account the separate Victorian regulation of disability providers including the Disability Worker Exclusion Scheme and upcoming Registration Scheme currently being consulted</w:t>
      </w:r>
      <w:r w:rsidRPr="00F767EA">
        <w:rPr>
          <w:rFonts w:cstheme="minorHAnsi"/>
        </w:rPr>
        <w:t xml:space="preserve"> on. </w:t>
      </w:r>
    </w:p>
    <w:p w14:paraId="276851EE" w14:textId="681BDA38" w:rsidR="00C952CC" w:rsidRDefault="00C952CC" w:rsidP="007C36E4">
      <w:pPr>
        <w:pStyle w:val="mpcbullets1"/>
        <w:numPr>
          <w:ilvl w:val="0"/>
          <w:numId w:val="0"/>
        </w:numPr>
        <w:rPr>
          <w:rFonts w:cstheme="minorHAnsi"/>
        </w:rPr>
      </w:pPr>
    </w:p>
    <w:p w14:paraId="74403861" w14:textId="56FCA63B" w:rsidR="00C952CC" w:rsidRDefault="00077759" w:rsidP="007C36E4">
      <w:pPr>
        <w:pStyle w:val="mpcbullets1"/>
        <w:numPr>
          <w:ilvl w:val="0"/>
          <w:numId w:val="0"/>
        </w:numPr>
        <w:rPr>
          <w:rFonts w:cstheme="minorHAnsi"/>
        </w:rPr>
      </w:pPr>
      <w:r>
        <w:rPr>
          <w:rFonts w:cstheme="minorHAnsi"/>
        </w:rPr>
        <w:lastRenderedPageBreak/>
        <w:t>Of t</w:t>
      </w:r>
      <w:r w:rsidR="00C952CC">
        <w:rPr>
          <w:rFonts w:cstheme="minorHAnsi"/>
        </w:rPr>
        <w:t xml:space="preserve">hose </w:t>
      </w:r>
      <w:r>
        <w:rPr>
          <w:rFonts w:cstheme="minorHAnsi"/>
        </w:rPr>
        <w:t xml:space="preserve">who did not support automatic recognition of clearances/exclusions across sectors, some suggested </w:t>
      </w:r>
      <w:r w:rsidR="00C952CC">
        <w:rPr>
          <w:rFonts w:cstheme="minorHAnsi"/>
        </w:rPr>
        <w:t xml:space="preserve">that either aged care was very distinct from disability and that the two schemes should not intersect, or that otherwise, to ensure the highest safeguards for aged care consumers, </w:t>
      </w:r>
      <w:r w:rsidR="00025F41">
        <w:rPr>
          <w:rFonts w:cstheme="minorHAnsi"/>
        </w:rPr>
        <w:t xml:space="preserve">aged care </w:t>
      </w:r>
      <w:r w:rsidR="00C952CC">
        <w:rPr>
          <w:rFonts w:cstheme="minorHAnsi"/>
        </w:rPr>
        <w:t xml:space="preserve">workers should submit to the same </w:t>
      </w:r>
      <w:r w:rsidR="00025F41">
        <w:rPr>
          <w:rFonts w:cstheme="minorHAnsi"/>
        </w:rPr>
        <w:t xml:space="preserve">screening </w:t>
      </w:r>
      <w:r w:rsidR="00C952CC">
        <w:rPr>
          <w:rFonts w:cstheme="minorHAnsi"/>
        </w:rPr>
        <w:t xml:space="preserve">process to avoid the risk of something not being taken into account under the NDIS model that could have been captured by the aged care process. </w:t>
      </w:r>
    </w:p>
    <w:p w14:paraId="01190ABC" w14:textId="77777777" w:rsidR="00C952CC" w:rsidRDefault="00C952CC" w:rsidP="007C36E4">
      <w:pPr>
        <w:pStyle w:val="mpcbullets1"/>
        <w:numPr>
          <w:ilvl w:val="0"/>
          <w:numId w:val="0"/>
        </w:numPr>
        <w:rPr>
          <w:rFonts w:cstheme="minorHAnsi"/>
        </w:rPr>
      </w:pPr>
    </w:p>
    <w:p w14:paraId="0B6F8FB3" w14:textId="2E8E659B" w:rsidR="004A62E6" w:rsidRDefault="00025F41" w:rsidP="007C36E4">
      <w:pPr>
        <w:pStyle w:val="mpcbullets1"/>
        <w:numPr>
          <w:ilvl w:val="0"/>
          <w:numId w:val="0"/>
        </w:numPr>
        <w:rPr>
          <w:rFonts w:cstheme="minorHAnsi"/>
        </w:rPr>
      </w:pPr>
      <w:r>
        <w:rPr>
          <w:rFonts w:cstheme="minorHAnsi"/>
        </w:rPr>
        <w:t xml:space="preserve">It appears that in responding to this question, some stakeholders may have </w:t>
      </w:r>
      <w:r w:rsidR="00C952CC">
        <w:rPr>
          <w:rFonts w:cstheme="minorHAnsi"/>
        </w:rPr>
        <w:t>assume</w:t>
      </w:r>
      <w:r>
        <w:rPr>
          <w:rFonts w:cstheme="minorHAnsi"/>
        </w:rPr>
        <w:t>d</w:t>
      </w:r>
      <w:r w:rsidR="00C952CC">
        <w:rPr>
          <w:rFonts w:cstheme="minorHAnsi"/>
        </w:rPr>
        <w:t xml:space="preserve"> that the question </w:t>
      </w:r>
      <w:r w:rsidR="00727810">
        <w:rPr>
          <w:rFonts w:cstheme="minorHAnsi"/>
        </w:rPr>
        <w:t xml:space="preserve">of mutual recognition with the </w:t>
      </w:r>
      <w:r w:rsidR="00C952CC">
        <w:rPr>
          <w:rFonts w:cstheme="minorHAnsi"/>
        </w:rPr>
        <w:t xml:space="preserve">NDIS </w:t>
      </w:r>
      <w:r>
        <w:rPr>
          <w:rFonts w:cstheme="minorHAnsi"/>
        </w:rPr>
        <w:t xml:space="preserve">also related to </w:t>
      </w:r>
      <w:r w:rsidR="00C952CC">
        <w:rPr>
          <w:rFonts w:cstheme="minorHAnsi"/>
        </w:rPr>
        <w:t>registration standards that may be required in aged care (discussed below)</w:t>
      </w:r>
      <w:r>
        <w:rPr>
          <w:rFonts w:cstheme="minorHAnsi"/>
        </w:rPr>
        <w:t>,</w:t>
      </w:r>
      <w:r w:rsidR="00727810">
        <w:rPr>
          <w:rFonts w:cstheme="minorHAnsi"/>
        </w:rPr>
        <w:t xml:space="preserve"> rather than mutual recognition of screening outcomes</w:t>
      </w:r>
      <w:r>
        <w:rPr>
          <w:rFonts w:cstheme="minorHAnsi"/>
        </w:rPr>
        <w:t xml:space="preserve"> specifically</w:t>
      </w:r>
      <w:r w:rsidR="00727810">
        <w:rPr>
          <w:rFonts w:cstheme="minorHAnsi"/>
        </w:rPr>
        <w:t>. For example, responses to this consultation question</w:t>
      </w:r>
      <w:r w:rsidR="00C952CC">
        <w:rPr>
          <w:rFonts w:cstheme="minorHAnsi"/>
        </w:rPr>
        <w:t xml:space="preserve"> </w:t>
      </w:r>
      <w:r w:rsidR="00727810">
        <w:rPr>
          <w:rFonts w:cstheme="minorHAnsi"/>
        </w:rPr>
        <w:t>reiterated</w:t>
      </w:r>
      <w:r w:rsidR="00C952CC">
        <w:rPr>
          <w:rFonts w:cstheme="minorHAnsi"/>
        </w:rPr>
        <w:t xml:space="preserve"> that the aged care sector require</w:t>
      </w:r>
      <w:r w:rsidR="005F18C6">
        <w:rPr>
          <w:rFonts w:cstheme="minorHAnsi"/>
        </w:rPr>
        <w:t>s</w:t>
      </w:r>
      <w:r w:rsidR="00C952CC">
        <w:rPr>
          <w:rFonts w:cstheme="minorHAnsi"/>
        </w:rPr>
        <w:t xml:space="preserve"> different workforce </w:t>
      </w:r>
      <w:r w:rsidR="00727810">
        <w:rPr>
          <w:rFonts w:cstheme="minorHAnsi"/>
        </w:rPr>
        <w:t>skills and competencies</w:t>
      </w:r>
      <w:r w:rsidR="00C952CC">
        <w:rPr>
          <w:rFonts w:cstheme="minorHAnsi"/>
        </w:rPr>
        <w:t xml:space="preserve"> to that of disability</w:t>
      </w:r>
      <w:r>
        <w:rPr>
          <w:rFonts w:cstheme="minorHAnsi"/>
        </w:rPr>
        <w:t>,</w:t>
      </w:r>
      <w:r w:rsidR="00C952CC">
        <w:rPr>
          <w:rFonts w:cstheme="minorHAnsi"/>
        </w:rPr>
        <w:t xml:space="preserve"> </w:t>
      </w:r>
      <w:r w:rsidR="00727810">
        <w:rPr>
          <w:rFonts w:cstheme="minorHAnsi"/>
        </w:rPr>
        <w:t>and</w:t>
      </w:r>
      <w:r w:rsidR="00C952CC">
        <w:rPr>
          <w:rFonts w:cstheme="minorHAnsi"/>
        </w:rPr>
        <w:t xml:space="preserve"> therefore </w:t>
      </w:r>
      <w:r w:rsidR="00727810">
        <w:rPr>
          <w:rFonts w:cstheme="minorHAnsi"/>
        </w:rPr>
        <w:t xml:space="preserve">having worked in the disability sector should </w:t>
      </w:r>
      <w:r w:rsidR="00C952CC">
        <w:rPr>
          <w:rFonts w:cstheme="minorHAnsi"/>
        </w:rPr>
        <w:t>not permit automatic entry into the</w:t>
      </w:r>
      <w:r w:rsidR="00727810">
        <w:rPr>
          <w:rFonts w:cstheme="minorHAnsi"/>
        </w:rPr>
        <w:t xml:space="preserve"> aged care</w:t>
      </w:r>
      <w:r w:rsidR="00C952CC">
        <w:rPr>
          <w:rFonts w:cstheme="minorHAnsi"/>
        </w:rPr>
        <w:t xml:space="preserve"> sector. </w:t>
      </w:r>
      <w:r w:rsidR="00727810">
        <w:rPr>
          <w:rFonts w:cstheme="minorHAnsi"/>
        </w:rPr>
        <w:t xml:space="preserve">For clarity, the question was specific to whether a worker who had been cleared through the NDIS Worker Screening Check should be exempt from submitting to aged care screening. </w:t>
      </w:r>
    </w:p>
    <w:p w14:paraId="75AFA77F" w14:textId="77777777" w:rsidR="008402C1" w:rsidRPr="00F767EA" w:rsidRDefault="008402C1" w:rsidP="007C36E4">
      <w:pPr>
        <w:pStyle w:val="mpcbullets1"/>
        <w:numPr>
          <w:ilvl w:val="0"/>
          <w:numId w:val="0"/>
        </w:numPr>
        <w:rPr>
          <w:rFonts w:cstheme="minorHAnsi"/>
        </w:rPr>
      </w:pPr>
    </w:p>
    <w:p w14:paraId="51E88078" w14:textId="77777777" w:rsidR="004A62E6" w:rsidRPr="00F767EA" w:rsidRDefault="004A62E6" w:rsidP="007C36E4">
      <w:pPr>
        <w:pStyle w:val="mpcbullets1"/>
        <w:keepNext/>
        <w:numPr>
          <w:ilvl w:val="0"/>
          <w:numId w:val="0"/>
        </w:numPr>
        <w:rPr>
          <w:rFonts w:cstheme="minorHAnsi"/>
          <w:b/>
          <w:bCs/>
        </w:rPr>
      </w:pPr>
      <w:r w:rsidRPr="00F767EA">
        <w:rPr>
          <w:rFonts w:cstheme="minorHAnsi"/>
          <w:b/>
          <w:bCs/>
        </w:rPr>
        <w:t xml:space="preserve">Other sectors and checks </w:t>
      </w:r>
    </w:p>
    <w:p w14:paraId="5F956F82" w14:textId="77777777" w:rsidR="004A62E6" w:rsidRPr="00F767EA" w:rsidRDefault="004A62E6" w:rsidP="007C36E4">
      <w:pPr>
        <w:pStyle w:val="mpcbullets1"/>
        <w:keepNext/>
        <w:numPr>
          <w:ilvl w:val="0"/>
          <w:numId w:val="0"/>
        </w:numPr>
        <w:rPr>
          <w:rFonts w:cstheme="minorHAnsi"/>
        </w:rPr>
      </w:pPr>
    </w:p>
    <w:p w14:paraId="4C83B1B6" w14:textId="7F37F66B" w:rsidR="00B371F9" w:rsidRDefault="004A62E6" w:rsidP="007C36E4">
      <w:pPr>
        <w:pStyle w:val="mpcbullets1"/>
        <w:keepNext/>
        <w:numPr>
          <w:ilvl w:val="0"/>
          <w:numId w:val="0"/>
        </w:numPr>
        <w:rPr>
          <w:rFonts w:cstheme="minorHAnsi"/>
        </w:rPr>
      </w:pPr>
      <w:r w:rsidRPr="00F767EA">
        <w:rPr>
          <w:rFonts w:cstheme="minorHAnsi"/>
        </w:rPr>
        <w:t xml:space="preserve">In relation to mutual recognition with the health sector, stakeholders flagged that registered health practitioners under the National Scheme should either be exempt from the regulation scheme altogether or otherwise considered cleared for the purposes of aged care </w:t>
      </w:r>
      <w:r w:rsidR="00A649C6">
        <w:rPr>
          <w:rFonts w:cstheme="minorHAnsi"/>
        </w:rPr>
        <w:t xml:space="preserve">screening </w:t>
      </w:r>
      <w:r w:rsidRPr="00F767EA">
        <w:rPr>
          <w:rFonts w:cstheme="minorHAnsi"/>
        </w:rPr>
        <w:t>such that compliance against the aged care scheme was not necessary to evidence.</w:t>
      </w:r>
    </w:p>
    <w:p w14:paraId="72B085F9" w14:textId="77777777" w:rsidR="004A62E6" w:rsidRPr="00F767EA" w:rsidRDefault="004A62E6" w:rsidP="007C36E4">
      <w:pPr>
        <w:pStyle w:val="mpcbullets1"/>
        <w:numPr>
          <w:ilvl w:val="0"/>
          <w:numId w:val="0"/>
        </w:numPr>
        <w:rPr>
          <w:rFonts w:cstheme="minorHAnsi"/>
        </w:rPr>
      </w:pPr>
    </w:p>
    <w:p w14:paraId="7910A554" w14:textId="2B818DFC" w:rsidR="004A62E6" w:rsidRPr="00F767EA" w:rsidRDefault="004A62E6" w:rsidP="007C36E4">
      <w:pPr>
        <w:pStyle w:val="mpcbullets1"/>
        <w:numPr>
          <w:ilvl w:val="0"/>
          <w:numId w:val="0"/>
        </w:numPr>
        <w:rPr>
          <w:rFonts w:cstheme="minorHAnsi"/>
        </w:rPr>
      </w:pPr>
      <w:r w:rsidRPr="00F767EA">
        <w:rPr>
          <w:rFonts w:cstheme="minorHAnsi"/>
        </w:rPr>
        <w:t>Some stakeholders also considered that Working with Children and Working with Vulnerable People Checks should be eligible for clearances but this is dependent on how aligned the screening assessment in the aged care space will be to these State/Territory-based assessments (for example, if the aged care regulation scheme ultimately undertakes a risk assessment similar to the NDIS model</w:t>
      </w:r>
      <w:r w:rsidR="00F06871">
        <w:rPr>
          <w:rFonts w:cstheme="minorHAnsi"/>
        </w:rPr>
        <w:t xml:space="preserve"> in which matters beyond criminal offences are considered</w:t>
      </w:r>
      <w:r w:rsidRPr="00F767EA">
        <w:rPr>
          <w:rFonts w:cstheme="minorHAnsi"/>
        </w:rPr>
        <w:t xml:space="preserve">). </w:t>
      </w:r>
    </w:p>
    <w:p w14:paraId="5D25A515" w14:textId="49B50D26" w:rsidR="004A62E6" w:rsidRDefault="004A62E6" w:rsidP="007C36E4">
      <w:pPr>
        <w:pStyle w:val="mpcbullets1"/>
        <w:numPr>
          <w:ilvl w:val="0"/>
          <w:numId w:val="0"/>
        </w:numPr>
      </w:pPr>
    </w:p>
    <w:p w14:paraId="71383D99" w14:textId="77777777" w:rsidR="00025F41" w:rsidRPr="0079650B" w:rsidRDefault="00025F41" w:rsidP="007C36E4">
      <w:pPr>
        <w:pStyle w:val="mpcheading2"/>
        <w:spacing w:after="0"/>
      </w:pPr>
      <w:bookmarkStart w:id="49" w:name="_Toc45807959"/>
      <w:bookmarkStart w:id="50" w:name="_Toc49253249"/>
      <w:r w:rsidRPr="0079650B">
        <w:t xml:space="preserve">Who </w:t>
      </w:r>
      <w:r>
        <w:t xml:space="preserve">should </w:t>
      </w:r>
      <w:r w:rsidRPr="0079650B">
        <w:t>assess suitability</w:t>
      </w:r>
      <w:r>
        <w:t>?</w:t>
      </w:r>
      <w:bookmarkEnd w:id="49"/>
      <w:bookmarkEnd w:id="50"/>
      <w:r w:rsidRPr="0079650B">
        <w:t> </w:t>
      </w:r>
    </w:p>
    <w:p w14:paraId="15A00CAC" w14:textId="77777777" w:rsidR="00025F41" w:rsidRDefault="00025F41" w:rsidP="007C36E4">
      <w:pPr>
        <w:pStyle w:val="mpcNormal"/>
        <w:spacing w:after="0"/>
        <w:rPr>
          <w:rFonts w:cstheme="minorHAnsi"/>
        </w:rPr>
      </w:pPr>
    </w:p>
    <w:p w14:paraId="3812E027" w14:textId="77777777" w:rsidR="00025F41" w:rsidRPr="00F767EA" w:rsidRDefault="00025F41" w:rsidP="007C36E4">
      <w:pPr>
        <w:pStyle w:val="mpcNormal"/>
        <w:spacing w:after="0"/>
        <w:rPr>
          <w:rFonts w:cstheme="minorHAnsi"/>
        </w:rPr>
      </w:pPr>
      <w:r>
        <w:rPr>
          <w:rFonts w:cstheme="minorHAnsi"/>
        </w:rPr>
        <w:t>Given the</w:t>
      </w:r>
      <w:r w:rsidRPr="00F767EA">
        <w:rPr>
          <w:rFonts w:cstheme="minorHAnsi"/>
        </w:rPr>
        <w:t xml:space="preserve"> strong</w:t>
      </w:r>
      <w:r>
        <w:rPr>
          <w:rFonts w:cstheme="minorHAnsi"/>
        </w:rPr>
        <w:t xml:space="preserve"> stakeholder</w:t>
      </w:r>
      <w:r w:rsidRPr="00F767EA">
        <w:rPr>
          <w:rFonts w:cstheme="minorHAnsi"/>
        </w:rPr>
        <w:t xml:space="preserve"> support for several sources of information to be considered as part of the assessment and for centralised assessment to occur, </w:t>
      </w:r>
      <w:r>
        <w:rPr>
          <w:rFonts w:cstheme="minorHAnsi"/>
        </w:rPr>
        <w:t>suggestions</w:t>
      </w:r>
      <w:r w:rsidRPr="00F767EA">
        <w:rPr>
          <w:rFonts w:cstheme="minorHAnsi"/>
        </w:rPr>
        <w:t xml:space="preserve"> for who </w:t>
      </w:r>
      <w:r>
        <w:rPr>
          <w:rFonts w:cstheme="minorHAnsi"/>
        </w:rPr>
        <w:t>should make the assessment</w:t>
      </w:r>
      <w:r w:rsidRPr="00F767EA">
        <w:rPr>
          <w:rFonts w:cstheme="minorHAnsi"/>
        </w:rPr>
        <w:t xml:space="preserve"> </w:t>
      </w:r>
      <w:r>
        <w:rPr>
          <w:rFonts w:cstheme="minorHAnsi"/>
        </w:rPr>
        <w:t>generally involved</w:t>
      </w:r>
      <w:r w:rsidRPr="00F767EA">
        <w:rPr>
          <w:rFonts w:cstheme="minorHAnsi"/>
        </w:rPr>
        <w:t xml:space="preserve">: </w:t>
      </w:r>
    </w:p>
    <w:p w14:paraId="472DFE73" w14:textId="77777777" w:rsidR="00025F41" w:rsidRPr="00F767EA" w:rsidRDefault="00025F41" w:rsidP="007C36E4">
      <w:pPr>
        <w:pStyle w:val="mpcNormal"/>
        <w:spacing w:after="0"/>
        <w:rPr>
          <w:rFonts w:cstheme="minorHAnsi"/>
        </w:rPr>
      </w:pPr>
    </w:p>
    <w:p w14:paraId="4A876A27" w14:textId="7B2BE07F" w:rsidR="00025F41" w:rsidRPr="00200350" w:rsidRDefault="00025F41" w:rsidP="00200350">
      <w:pPr>
        <w:pStyle w:val="mpcbullets1"/>
      </w:pPr>
      <w:r w:rsidRPr="00200350">
        <w:t xml:space="preserve">an existing national body (NDIS Commission, a national board under Ahpra or </w:t>
      </w:r>
      <w:r w:rsidR="00295222" w:rsidRPr="00200350">
        <w:t xml:space="preserve">the </w:t>
      </w:r>
      <w:r w:rsidRPr="00200350">
        <w:t>ACQS Commission)</w:t>
      </w:r>
    </w:p>
    <w:p w14:paraId="480034FB" w14:textId="1A12432E" w:rsidR="00025F41" w:rsidRPr="00200350" w:rsidRDefault="00025F41" w:rsidP="00200350">
      <w:pPr>
        <w:pStyle w:val="mpcbullets1"/>
      </w:pPr>
      <w:r w:rsidRPr="00200350">
        <w:t>a new national body</w:t>
      </w:r>
    </w:p>
    <w:p w14:paraId="4AFD60B8" w14:textId="3E6CA308" w:rsidR="00025F41" w:rsidRPr="00200350" w:rsidRDefault="00025F41" w:rsidP="00200350">
      <w:pPr>
        <w:pStyle w:val="mpcbullets1"/>
      </w:pPr>
      <w:r w:rsidRPr="00200350">
        <w:t xml:space="preserve">State/Territory </w:t>
      </w:r>
      <w:r w:rsidR="00295222" w:rsidRPr="00200350">
        <w:t>WSUs</w:t>
      </w:r>
      <w:r w:rsidRPr="00200350">
        <w:t xml:space="preserve"> (to feed information up to a database managed by either the government or a new national body).</w:t>
      </w:r>
    </w:p>
    <w:p w14:paraId="75743D05" w14:textId="77777777" w:rsidR="00025F41" w:rsidRPr="00F767EA" w:rsidRDefault="00025F41" w:rsidP="007C36E4">
      <w:pPr>
        <w:pStyle w:val="mpcbullets1"/>
        <w:numPr>
          <w:ilvl w:val="0"/>
          <w:numId w:val="0"/>
        </w:numPr>
        <w:rPr>
          <w:rFonts w:cstheme="minorHAnsi"/>
        </w:rPr>
      </w:pPr>
    </w:p>
    <w:p w14:paraId="0755E247" w14:textId="77777777" w:rsidR="00025F41" w:rsidRPr="00F767EA" w:rsidRDefault="00025F41" w:rsidP="007C36E4">
      <w:pPr>
        <w:pStyle w:val="mpcbullets1"/>
        <w:numPr>
          <w:ilvl w:val="0"/>
          <w:numId w:val="0"/>
        </w:numPr>
        <w:rPr>
          <w:rFonts w:cstheme="minorHAnsi"/>
        </w:rPr>
      </w:pPr>
      <w:r w:rsidRPr="00F767EA">
        <w:rPr>
          <w:rFonts w:cstheme="minorHAnsi"/>
        </w:rPr>
        <w:t>Stakeholders raised industry involvement in the development of the criteria for assessment, however</w:t>
      </w:r>
      <w:r>
        <w:rPr>
          <w:rFonts w:cstheme="minorHAnsi"/>
        </w:rPr>
        <w:t>,</w:t>
      </w:r>
      <w:r w:rsidRPr="00F767EA">
        <w:rPr>
          <w:rFonts w:cstheme="minorHAnsi"/>
        </w:rPr>
        <w:t xml:space="preserve"> there was not consistent support for an industry-based assessment of worker suitability. </w:t>
      </w:r>
    </w:p>
    <w:p w14:paraId="04D68235" w14:textId="77777777" w:rsidR="00025F41" w:rsidRPr="00F767EA" w:rsidRDefault="00025F41" w:rsidP="007C36E4">
      <w:pPr>
        <w:pStyle w:val="mpcbullets1"/>
        <w:numPr>
          <w:ilvl w:val="0"/>
          <w:numId w:val="0"/>
        </w:numPr>
        <w:rPr>
          <w:rFonts w:cstheme="minorHAnsi"/>
        </w:rPr>
      </w:pPr>
    </w:p>
    <w:p w14:paraId="344DD883" w14:textId="7893A261" w:rsidR="00025F41" w:rsidRPr="00F767EA" w:rsidRDefault="00025F41" w:rsidP="007C36E4">
      <w:pPr>
        <w:pStyle w:val="mpcbullets1"/>
        <w:numPr>
          <w:ilvl w:val="0"/>
          <w:numId w:val="0"/>
        </w:numPr>
        <w:rPr>
          <w:rFonts w:cstheme="minorHAnsi"/>
        </w:rPr>
      </w:pPr>
      <w:r w:rsidRPr="00F767EA">
        <w:rPr>
          <w:rFonts w:cstheme="minorHAnsi"/>
        </w:rPr>
        <w:t xml:space="preserve">As part of the consultation process, stakeholders were not asked to </w:t>
      </w:r>
      <w:r w:rsidR="00077759">
        <w:rPr>
          <w:rFonts w:cstheme="minorHAnsi"/>
        </w:rPr>
        <w:t>s</w:t>
      </w:r>
      <w:r w:rsidRPr="00F767EA">
        <w:rPr>
          <w:rFonts w:cstheme="minorHAnsi"/>
        </w:rPr>
        <w:t xml:space="preserve">elect a preferred body, but rather whether one body should be solely responsible for worker screening and/or registration, or if the responsibility should be shared across many bodies. </w:t>
      </w:r>
    </w:p>
    <w:p w14:paraId="2977E857" w14:textId="77777777" w:rsidR="00025F41" w:rsidRPr="00F767EA" w:rsidRDefault="00025F41" w:rsidP="007C36E4">
      <w:pPr>
        <w:pStyle w:val="mpcbullets1"/>
        <w:numPr>
          <w:ilvl w:val="0"/>
          <w:numId w:val="0"/>
        </w:numPr>
        <w:rPr>
          <w:rFonts w:cstheme="minorHAnsi"/>
        </w:rPr>
      </w:pPr>
    </w:p>
    <w:p w14:paraId="781927C5" w14:textId="68B74158" w:rsidR="00025F41" w:rsidRDefault="00025F41" w:rsidP="007C36E4">
      <w:pPr>
        <w:pStyle w:val="mpcbullets1"/>
        <w:numPr>
          <w:ilvl w:val="0"/>
          <w:numId w:val="0"/>
        </w:numPr>
        <w:rPr>
          <w:rFonts w:cstheme="minorHAnsi"/>
        </w:rPr>
      </w:pPr>
      <w:r w:rsidRPr="00F767EA">
        <w:rPr>
          <w:rFonts w:cstheme="minorHAnsi"/>
        </w:rPr>
        <w:lastRenderedPageBreak/>
        <w:t>Stakeholders consistently acknowledged their preference for a single national body to oversee screening and/or a registration scheme. There was</w:t>
      </w:r>
      <w:r w:rsidR="00077759">
        <w:rPr>
          <w:rFonts w:cstheme="minorHAnsi"/>
        </w:rPr>
        <w:t xml:space="preserve"> broad</w:t>
      </w:r>
      <w:r w:rsidRPr="00F767EA">
        <w:rPr>
          <w:rFonts w:cstheme="minorHAnsi"/>
        </w:rPr>
        <w:t xml:space="preserve"> consensus that information should be consolidated and fed into one body to make a determination about clearance and registration, and for this body to be the body that employers and workers engage with. </w:t>
      </w:r>
    </w:p>
    <w:p w14:paraId="7817AC6B" w14:textId="77777777" w:rsidR="00025F41" w:rsidRDefault="00025F41" w:rsidP="007C36E4">
      <w:pPr>
        <w:pStyle w:val="mpcbullets1"/>
        <w:numPr>
          <w:ilvl w:val="0"/>
          <w:numId w:val="0"/>
        </w:numPr>
        <w:rPr>
          <w:rFonts w:cstheme="minorHAnsi"/>
        </w:rPr>
      </w:pPr>
    </w:p>
    <w:p w14:paraId="3F3E8ED1" w14:textId="33D804B3" w:rsidR="00025F41" w:rsidRPr="00F767EA" w:rsidRDefault="00025F41" w:rsidP="007C36E4">
      <w:pPr>
        <w:pStyle w:val="mpcbullets1"/>
        <w:numPr>
          <w:ilvl w:val="0"/>
          <w:numId w:val="0"/>
        </w:numPr>
        <w:rPr>
          <w:rFonts w:cstheme="minorHAnsi"/>
        </w:rPr>
      </w:pPr>
      <w:r w:rsidRPr="00F767EA">
        <w:rPr>
          <w:rFonts w:cstheme="minorHAnsi"/>
        </w:rPr>
        <w:t>Stakeholders commonly mentioned the ACQS Commission</w:t>
      </w:r>
      <w:r w:rsidR="00077759">
        <w:rPr>
          <w:rFonts w:cstheme="minorHAnsi"/>
        </w:rPr>
        <w:t>,</w:t>
      </w:r>
      <w:r w:rsidRPr="00F767EA">
        <w:rPr>
          <w:rFonts w:cstheme="minorHAnsi"/>
        </w:rPr>
        <w:t xml:space="preserve"> a new aged care specific national bo</w:t>
      </w:r>
      <w:r w:rsidR="00077759">
        <w:rPr>
          <w:rFonts w:cstheme="minorHAnsi"/>
        </w:rPr>
        <w:t xml:space="preserve">dy or a new board </w:t>
      </w:r>
      <w:r w:rsidRPr="00F767EA">
        <w:rPr>
          <w:rFonts w:cstheme="minorHAnsi"/>
        </w:rPr>
        <w:t>under the National Scheme.</w:t>
      </w:r>
    </w:p>
    <w:p w14:paraId="5DF9AAD6" w14:textId="77777777" w:rsidR="00025F41" w:rsidRPr="00F767EA" w:rsidRDefault="00025F41" w:rsidP="007C36E4">
      <w:pPr>
        <w:pStyle w:val="mpcbullets1"/>
        <w:numPr>
          <w:ilvl w:val="0"/>
          <w:numId w:val="0"/>
        </w:numPr>
        <w:rPr>
          <w:rFonts w:cstheme="minorHAnsi"/>
        </w:rPr>
      </w:pPr>
    </w:p>
    <w:p w14:paraId="4E1BB573" w14:textId="77777777" w:rsidR="00025F41" w:rsidRPr="00F767EA" w:rsidRDefault="00025F41" w:rsidP="007C36E4">
      <w:pPr>
        <w:pStyle w:val="mpcbullets1"/>
        <w:numPr>
          <w:ilvl w:val="0"/>
          <w:numId w:val="0"/>
        </w:numPr>
        <w:rPr>
          <w:rFonts w:cstheme="minorHAnsi"/>
        </w:rPr>
      </w:pPr>
      <w:r w:rsidRPr="00F767EA">
        <w:rPr>
          <w:rFonts w:cstheme="minorHAnsi"/>
        </w:rPr>
        <w:t>Stakeholders expressed a strong concern about the capacity of multiple bodies to efficiently share information in a timely way to safeguard against unsuitable workers not being detected and the heighten</w:t>
      </w:r>
      <w:r>
        <w:rPr>
          <w:rFonts w:cstheme="minorHAnsi"/>
        </w:rPr>
        <w:t>ed</w:t>
      </w:r>
      <w:r w:rsidRPr="00F767EA">
        <w:rPr>
          <w:rFonts w:cstheme="minorHAnsi"/>
        </w:rPr>
        <w:t xml:space="preserve"> risk of inconsistent outcomes for workers. </w:t>
      </w:r>
    </w:p>
    <w:p w14:paraId="180CD139" w14:textId="77777777" w:rsidR="00025F41" w:rsidRPr="00F767EA" w:rsidRDefault="00025F41" w:rsidP="007C36E4">
      <w:pPr>
        <w:pStyle w:val="mpcbullets1"/>
        <w:numPr>
          <w:ilvl w:val="0"/>
          <w:numId w:val="0"/>
        </w:numPr>
        <w:rPr>
          <w:rFonts w:cstheme="minorHAnsi"/>
        </w:rPr>
      </w:pPr>
    </w:p>
    <w:p w14:paraId="646FECCD" w14:textId="61F3BDB3" w:rsidR="00025F41" w:rsidRPr="00F767EA" w:rsidRDefault="00025F41" w:rsidP="007C36E4">
      <w:pPr>
        <w:pStyle w:val="mpcbullets1"/>
        <w:numPr>
          <w:ilvl w:val="0"/>
          <w:numId w:val="0"/>
        </w:numPr>
        <w:rPr>
          <w:rFonts w:cstheme="minorHAnsi"/>
        </w:rPr>
      </w:pPr>
      <w:r w:rsidRPr="00F767EA">
        <w:rPr>
          <w:rFonts w:cstheme="minorHAnsi"/>
        </w:rPr>
        <w:t>While stakeholders noted that having multiple bodies may have advantages in relation to the spreading of the volume of work and costs, and the additional protections more scrutiny from other bodies could provide, there were several disadvantages</w:t>
      </w:r>
      <w:r w:rsidR="002D2CC2">
        <w:rPr>
          <w:rStyle w:val="FootnoteReference"/>
          <w:rFonts w:cstheme="minorHAnsi"/>
        </w:rPr>
        <w:footnoteReference w:id="21"/>
      </w:r>
      <w:r w:rsidRPr="00F767EA">
        <w:rPr>
          <w:rFonts w:cstheme="minorHAnsi"/>
        </w:rPr>
        <w:t>.</w:t>
      </w:r>
      <w:r w:rsidR="00077759">
        <w:rPr>
          <w:rFonts w:cstheme="minorHAnsi"/>
        </w:rPr>
        <w:t xml:space="preserve"> </w:t>
      </w:r>
      <w:r w:rsidRPr="00F767EA">
        <w:rPr>
          <w:rFonts w:cstheme="minorHAnsi"/>
        </w:rPr>
        <w:t xml:space="preserve">Stakeholders were particularly concerned that not having one national body or a consolidated database would increase the risk of: </w:t>
      </w:r>
    </w:p>
    <w:p w14:paraId="34DC4E17" w14:textId="77777777" w:rsidR="00025F41" w:rsidRPr="00F767EA" w:rsidRDefault="00025F41" w:rsidP="007C36E4">
      <w:pPr>
        <w:pStyle w:val="mpcbullets1"/>
        <w:numPr>
          <w:ilvl w:val="0"/>
          <w:numId w:val="0"/>
        </w:numPr>
        <w:rPr>
          <w:rFonts w:cstheme="minorHAnsi"/>
        </w:rPr>
      </w:pPr>
    </w:p>
    <w:p w14:paraId="02AC8520" w14:textId="77777777" w:rsidR="00025F41" w:rsidRPr="00200350" w:rsidRDefault="00025F41" w:rsidP="00200350">
      <w:pPr>
        <w:pStyle w:val="mpcbullets1"/>
      </w:pPr>
      <w:r w:rsidRPr="00200350">
        <w:t xml:space="preserve">providers and consumers needing to search multiple sources and inadvertently missing key information about a worker’s suitability </w:t>
      </w:r>
    </w:p>
    <w:p w14:paraId="2F7BDC04" w14:textId="77777777" w:rsidR="00025F41" w:rsidRPr="00200350" w:rsidRDefault="00025F41" w:rsidP="00200350">
      <w:pPr>
        <w:pStyle w:val="mpcbullets1"/>
      </w:pPr>
      <w:r w:rsidRPr="00200350">
        <w:t xml:space="preserve">information not being shared appropriately between the multiple bodies as a result of concerns about limited information sharing powers </w:t>
      </w:r>
    </w:p>
    <w:p w14:paraId="3DB4528F" w14:textId="77777777" w:rsidR="00025F41" w:rsidRPr="00200350" w:rsidRDefault="00025F41" w:rsidP="00200350">
      <w:pPr>
        <w:pStyle w:val="mpcbullets1"/>
      </w:pPr>
      <w:r w:rsidRPr="00200350">
        <w:t xml:space="preserve">unsuitable workers falling through the gaps created by multiple bodies providing oversight </w:t>
      </w:r>
    </w:p>
    <w:p w14:paraId="49CFFEE8" w14:textId="77777777" w:rsidR="00025F41" w:rsidRPr="00200350" w:rsidRDefault="00025F41" w:rsidP="00200350">
      <w:pPr>
        <w:pStyle w:val="mpcbullets1"/>
      </w:pPr>
      <w:r w:rsidRPr="00200350">
        <w:t xml:space="preserve">errors and delays resulting from having multiple bodies manage screening and/or registration where stakeholders valued screening decisions being in real time </w:t>
      </w:r>
    </w:p>
    <w:p w14:paraId="4B72E4A5" w14:textId="77777777" w:rsidR="00025F41" w:rsidRPr="00200350" w:rsidRDefault="00025F41" w:rsidP="00200350">
      <w:pPr>
        <w:pStyle w:val="mpcbullets1"/>
      </w:pPr>
      <w:r w:rsidRPr="00200350">
        <w:t>governance concerns about which body should respond or manage the matter</w:t>
      </w:r>
    </w:p>
    <w:p w14:paraId="11BA6A08" w14:textId="77777777" w:rsidR="00025F41" w:rsidRPr="00200350" w:rsidRDefault="00025F41" w:rsidP="00200350">
      <w:pPr>
        <w:pStyle w:val="mpcbullets1"/>
      </w:pPr>
      <w:r w:rsidRPr="00200350">
        <w:t xml:space="preserve">potential duplication of work, business rules and policies. </w:t>
      </w:r>
    </w:p>
    <w:p w14:paraId="0CB7E503" w14:textId="77777777" w:rsidR="00B63040" w:rsidRPr="00F767EA" w:rsidRDefault="00B63040" w:rsidP="007C36E4">
      <w:pPr>
        <w:pStyle w:val="mpcbullets1"/>
        <w:numPr>
          <w:ilvl w:val="0"/>
          <w:numId w:val="0"/>
        </w:numPr>
        <w:rPr>
          <w:rFonts w:cstheme="minorHAnsi"/>
        </w:rPr>
      </w:pPr>
    </w:p>
    <w:p w14:paraId="224719A1" w14:textId="77777777" w:rsidR="00025F41" w:rsidRPr="00F767EA" w:rsidRDefault="00025F41" w:rsidP="007C36E4">
      <w:pPr>
        <w:pStyle w:val="mpcbullets1"/>
        <w:numPr>
          <w:ilvl w:val="0"/>
          <w:numId w:val="0"/>
        </w:numPr>
        <w:rPr>
          <w:rFonts w:cstheme="minorHAnsi"/>
          <w:b/>
          <w:bCs/>
        </w:rPr>
      </w:pPr>
      <w:r w:rsidRPr="00F767EA">
        <w:rPr>
          <w:rFonts w:cstheme="minorHAnsi"/>
          <w:b/>
          <w:bCs/>
        </w:rPr>
        <w:t>Expanding the</w:t>
      </w:r>
      <w:r>
        <w:rPr>
          <w:rFonts w:cstheme="minorHAnsi"/>
          <w:b/>
          <w:bCs/>
        </w:rPr>
        <w:t xml:space="preserve"> role of the</w:t>
      </w:r>
      <w:r w:rsidRPr="00F767EA">
        <w:rPr>
          <w:rFonts w:cstheme="minorHAnsi"/>
          <w:b/>
          <w:bCs/>
        </w:rPr>
        <w:t xml:space="preserve"> ACQS Commission </w:t>
      </w:r>
    </w:p>
    <w:p w14:paraId="1CAEE898" w14:textId="77777777" w:rsidR="00025F41" w:rsidRPr="00F767EA" w:rsidRDefault="00025F41" w:rsidP="007C36E4">
      <w:pPr>
        <w:pStyle w:val="mpcbullets1"/>
        <w:numPr>
          <w:ilvl w:val="0"/>
          <w:numId w:val="0"/>
        </w:numPr>
        <w:rPr>
          <w:rFonts w:cstheme="minorHAnsi"/>
        </w:rPr>
      </w:pPr>
    </w:p>
    <w:p w14:paraId="7D1DBE0C" w14:textId="33A30725" w:rsidR="00025F41" w:rsidRPr="00F767EA" w:rsidRDefault="00077759" w:rsidP="007C36E4">
      <w:pPr>
        <w:pStyle w:val="mpcbullets1"/>
        <w:numPr>
          <w:ilvl w:val="0"/>
          <w:numId w:val="0"/>
        </w:numPr>
        <w:rPr>
          <w:rFonts w:cstheme="minorHAnsi"/>
        </w:rPr>
      </w:pPr>
      <w:r>
        <w:rPr>
          <w:rFonts w:cstheme="minorHAnsi"/>
        </w:rPr>
        <w:t>A number of s</w:t>
      </w:r>
      <w:r w:rsidR="00025F41" w:rsidRPr="00F767EA">
        <w:rPr>
          <w:rFonts w:cstheme="minorHAnsi"/>
        </w:rPr>
        <w:t>takeholders favoured the expansion of existing bodies, and in particular the ACQS Commission. Stakeholders recognised the benefits of expanding the ACQS Commission’s role to</w:t>
      </w:r>
      <w:r w:rsidR="00025F41">
        <w:rPr>
          <w:rFonts w:cstheme="minorHAnsi"/>
        </w:rPr>
        <w:t xml:space="preserve"> perform this function</w:t>
      </w:r>
      <w:r w:rsidR="00025F41" w:rsidRPr="00F767EA">
        <w:rPr>
          <w:rFonts w:cstheme="minorHAnsi"/>
        </w:rPr>
        <w:t xml:space="preserve">, noting: </w:t>
      </w:r>
    </w:p>
    <w:p w14:paraId="7910C05A" w14:textId="77777777" w:rsidR="00025F41" w:rsidRPr="00F767EA" w:rsidRDefault="00025F41" w:rsidP="007C36E4">
      <w:pPr>
        <w:pStyle w:val="mpcbullets1"/>
        <w:numPr>
          <w:ilvl w:val="0"/>
          <w:numId w:val="0"/>
        </w:numPr>
        <w:rPr>
          <w:rFonts w:cstheme="minorHAnsi"/>
        </w:rPr>
      </w:pPr>
    </w:p>
    <w:p w14:paraId="12B02F6A" w14:textId="77777777" w:rsidR="00025F41" w:rsidRDefault="00025F41" w:rsidP="00200350">
      <w:pPr>
        <w:pStyle w:val="mpcbullets1"/>
      </w:pPr>
      <w:r w:rsidRPr="00F767EA">
        <w:t xml:space="preserve">the ACQS Commission is </w:t>
      </w:r>
      <w:r>
        <w:t xml:space="preserve">already </w:t>
      </w:r>
      <w:r w:rsidRPr="00F767EA">
        <w:t>responsible for</w:t>
      </w:r>
      <w:r>
        <w:t>:</w:t>
      </w:r>
      <w:r w:rsidRPr="00F767EA">
        <w:t xml:space="preserve"> </w:t>
      </w:r>
    </w:p>
    <w:p w14:paraId="1F2424E3" w14:textId="64F5F7B3" w:rsidR="00F27301" w:rsidRDefault="00F27301" w:rsidP="00667D9F">
      <w:pPr>
        <w:pStyle w:val="mpcbullets1"/>
        <w:numPr>
          <w:ilvl w:val="0"/>
          <w:numId w:val="12"/>
        </w:numPr>
        <w:rPr>
          <w:rFonts w:cstheme="minorHAnsi"/>
        </w:rPr>
      </w:pPr>
      <w:r>
        <w:rPr>
          <w:rFonts w:cstheme="minorHAnsi"/>
        </w:rPr>
        <w:t>regulating providers under the aged care legislation</w:t>
      </w:r>
    </w:p>
    <w:p w14:paraId="0C17AC95" w14:textId="3A064F7C" w:rsidR="00025F41" w:rsidRDefault="00025F41" w:rsidP="00667D9F">
      <w:pPr>
        <w:pStyle w:val="mpcbullets1"/>
        <w:numPr>
          <w:ilvl w:val="0"/>
          <w:numId w:val="12"/>
        </w:numPr>
        <w:rPr>
          <w:rFonts w:cstheme="minorHAnsi"/>
        </w:rPr>
      </w:pPr>
      <w:r w:rsidRPr="00F767EA">
        <w:rPr>
          <w:rFonts w:cstheme="minorHAnsi"/>
        </w:rPr>
        <w:t>enforcing complementar</w:t>
      </w:r>
      <w:r>
        <w:rPr>
          <w:rFonts w:cstheme="minorHAnsi"/>
        </w:rPr>
        <w:t>y requirements</w:t>
      </w:r>
      <w:r w:rsidRPr="00F767EA">
        <w:rPr>
          <w:rFonts w:cstheme="minorHAnsi"/>
        </w:rPr>
        <w:t xml:space="preserve"> including the Aged Care Quality Standards and Charter of Aged Care Rights</w:t>
      </w:r>
    </w:p>
    <w:p w14:paraId="03449704" w14:textId="5952CC32" w:rsidR="00025F41" w:rsidRPr="00216A9C" w:rsidRDefault="00025F41" w:rsidP="00667D9F">
      <w:pPr>
        <w:pStyle w:val="mpcbullets1"/>
        <w:numPr>
          <w:ilvl w:val="0"/>
          <w:numId w:val="12"/>
        </w:numPr>
        <w:rPr>
          <w:rFonts w:cstheme="minorHAnsi"/>
        </w:rPr>
      </w:pPr>
      <w:r w:rsidRPr="00216A9C">
        <w:rPr>
          <w:rFonts w:cstheme="minorHAnsi"/>
        </w:rPr>
        <w:t>receiving and monitoring</w:t>
      </w:r>
      <w:r>
        <w:rPr>
          <w:rFonts w:cstheme="minorHAnsi"/>
        </w:rPr>
        <w:t xml:space="preserve"> </w:t>
      </w:r>
      <w:r w:rsidRPr="00216A9C">
        <w:rPr>
          <w:rFonts w:cstheme="minorHAnsi"/>
        </w:rPr>
        <w:t xml:space="preserve">alleged and suspected reportable assault matters through its function in relation to compulsory reporting/SIRS </w:t>
      </w:r>
      <w:r w:rsidR="00295222">
        <w:rPr>
          <w:rFonts w:cstheme="minorHAnsi"/>
        </w:rPr>
        <w:t>noting that</w:t>
      </w:r>
      <w:r w:rsidR="00295222" w:rsidRPr="00216A9C">
        <w:rPr>
          <w:rFonts w:cstheme="minorHAnsi"/>
        </w:rPr>
        <w:t xml:space="preserve"> </w:t>
      </w:r>
      <w:r w:rsidRPr="00216A9C">
        <w:rPr>
          <w:rFonts w:cstheme="minorHAnsi"/>
        </w:rPr>
        <w:t xml:space="preserve">this information could be drawn upon to identify unsuitable workers for own motion investigations into conduct against the code </w:t>
      </w:r>
    </w:p>
    <w:p w14:paraId="7962217B" w14:textId="55512A37" w:rsidR="00025F41" w:rsidRPr="00200350" w:rsidRDefault="00025F41" w:rsidP="00200350">
      <w:pPr>
        <w:pStyle w:val="mpcbullets1"/>
      </w:pPr>
      <w:r w:rsidRPr="00200350">
        <w:t xml:space="preserve">it already has mechanisms for managing complaints about aged care providers that could be expanded to accommodate complaints about workers </w:t>
      </w:r>
    </w:p>
    <w:p w14:paraId="44AB7242" w14:textId="1534521B" w:rsidR="00025F41" w:rsidRPr="00200350" w:rsidRDefault="00025F41" w:rsidP="00200350">
      <w:pPr>
        <w:pStyle w:val="mpcbullets1"/>
      </w:pPr>
      <w:r w:rsidRPr="00200350">
        <w:lastRenderedPageBreak/>
        <w:t>it currently conducts an educative role through newsletters, bulletins, webinars and training that could be expanded for the purposes of educating workers as well as providers</w:t>
      </w:r>
      <w:r w:rsidR="00295222" w:rsidRPr="00200350">
        <w:t xml:space="preserve"> about responsibilities </w:t>
      </w:r>
    </w:p>
    <w:p w14:paraId="004B213A" w14:textId="1E1AB234" w:rsidR="00025F41" w:rsidRPr="00200350" w:rsidRDefault="00025F41" w:rsidP="00200350">
      <w:pPr>
        <w:pStyle w:val="mpcbullets1"/>
      </w:pPr>
      <w:r w:rsidRPr="00200350">
        <w:t xml:space="preserve">it would be consistent with the NDIS approach, where the NDIS Commission regulates both providers and workers, such that it would be consistent for aged care to have a single body to cover the regulation of </w:t>
      </w:r>
      <w:r w:rsidR="00F80AD1" w:rsidRPr="00200350">
        <w:t xml:space="preserve">both providers and workers </w:t>
      </w:r>
    </w:p>
    <w:p w14:paraId="5D4659FA" w14:textId="73E9BAC2" w:rsidR="00025F41" w:rsidRPr="00200350" w:rsidRDefault="00025F41" w:rsidP="00200350">
      <w:pPr>
        <w:pStyle w:val="mpcbullets1"/>
      </w:pPr>
      <w:r w:rsidRPr="00200350">
        <w:t xml:space="preserve">increasing worker regulation is </w:t>
      </w:r>
      <w:r w:rsidR="00F80AD1" w:rsidRPr="00200350">
        <w:t xml:space="preserve">one means for addressing </w:t>
      </w:r>
      <w:r w:rsidRPr="00200350">
        <w:t>neglect and abuse within aged care and having a body with powers to investigate both provider</w:t>
      </w:r>
      <w:r w:rsidR="00295222" w:rsidRPr="00200350">
        <w:t xml:space="preserve"> and </w:t>
      </w:r>
      <w:r w:rsidRPr="00200350">
        <w:t>worker conduct is of value.</w:t>
      </w:r>
    </w:p>
    <w:p w14:paraId="6EF6B698" w14:textId="77777777" w:rsidR="00025F41" w:rsidRPr="00F767EA" w:rsidRDefault="00025F41" w:rsidP="007C36E4">
      <w:pPr>
        <w:pStyle w:val="mpcbullets1"/>
        <w:numPr>
          <w:ilvl w:val="0"/>
          <w:numId w:val="0"/>
        </w:numPr>
        <w:rPr>
          <w:rFonts w:cstheme="minorHAnsi"/>
        </w:rPr>
      </w:pPr>
    </w:p>
    <w:p w14:paraId="09C7C73B" w14:textId="77777777" w:rsidR="00025F41" w:rsidRPr="00F767EA" w:rsidRDefault="00025F41" w:rsidP="0041291B">
      <w:pPr>
        <w:pStyle w:val="mpcbullets1"/>
        <w:keepNext/>
        <w:numPr>
          <w:ilvl w:val="0"/>
          <w:numId w:val="0"/>
        </w:numPr>
        <w:rPr>
          <w:rFonts w:cstheme="minorHAnsi"/>
          <w:b/>
          <w:bCs/>
        </w:rPr>
      </w:pPr>
      <w:r w:rsidRPr="00F767EA">
        <w:rPr>
          <w:rFonts w:cstheme="minorHAnsi"/>
          <w:b/>
          <w:bCs/>
        </w:rPr>
        <w:t xml:space="preserve">New national body </w:t>
      </w:r>
    </w:p>
    <w:p w14:paraId="5032C606" w14:textId="77777777" w:rsidR="00025F41" w:rsidRPr="00F767EA" w:rsidRDefault="00025F41" w:rsidP="0041291B">
      <w:pPr>
        <w:pStyle w:val="mpcbullets1"/>
        <w:keepNext/>
        <w:numPr>
          <w:ilvl w:val="0"/>
          <w:numId w:val="0"/>
        </w:numPr>
        <w:rPr>
          <w:rFonts w:cstheme="minorHAnsi"/>
          <w:b/>
          <w:bCs/>
        </w:rPr>
      </w:pPr>
    </w:p>
    <w:p w14:paraId="46E3B8BC" w14:textId="79334C12" w:rsidR="00025F41" w:rsidRPr="00F767EA" w:rsidRDefault="00025F41" w:rsidP="0041291B">
      <w:pPr>
        <w:pStyle w:val="mpcbullets1"/>
        <w:keepNext/>
        <w:numPr>
          <w:ilvl w:val="0"/>
          <w:numId w:val="0"/>
        </w:numPr>
        <w:rPr>
          <w:rFonts w:cstheme="minorHAnsi"/>
        </w:rPr>
      </w:pPr>
      <w:r w:rsidRPr="00F767EA">
        <w:rPr>
          <w:rFonts w:cstheme="minorHAnsi"/>
        </w:rPr>
        <w:t xml:space="preserve">Some stakeholders suggested that an independent authority could otherwise be created to oversee worker regulation (for the purposes of clearances and/or registration) but that it should </w:t>
      </w:r>
      <w:r>
        <w:rPr>
          <w:rFonts w:cstheme="minorHAnsi"/>
        </w:rPr>
        <w:t>share information with</w:t>
      </w:r>
      <w:r w:rsidRPr="00F767EA">
        <w:rPr>
          <w:rFonts w:cstheme="minorHAnsi"/>
        </w:rPr>
        <w:t xml:space="preserve"> the ACQS Commission to complement the regulation of providers. </w:t>
      </w:r>
      <w:r w:rsidR="00077759">
        <w:rPr>
          <w:rFonts w:cstheme="minorHAnsi"/>
        </w:rPr>
        <w:t>It was noted that t</w:t>
      </w:r>
      <w:r w:rsidRPr="00F767EA">
        <w:rPr>
          <w:rFonts w:cstheme="minorHAnsi"/>
        </w:rPr>
        <w:t>his would however entail significant investment and timeframes to establish a new body and its operations.</w:t>
      </w:r>
    </w:p>
    <w:p w14:paraId="2932D4FF" w14:textId="77777777" w:rsidR="00025F41" w:rsidRPr="00F767EA" w:rsidRDefault="00025F41" w:rsidP="007C36E4">
      <w:pPr>
        <w:pStyle w:val="mpcbullets1"/>
        <w:numPr>
          <w:ilvl w:val="0"/>
          <w:numId w:val="0"/>
        </w:numPr>
        <w:rPr>
          <w:rFonts w:cstheme="minorHAnsi"/>
        </w:rPr>
      </w:pPr>
    </w:p>
    <w:p w14:paraId="1E22062B" w14:textId="77777777" w:rsidR="00025F41" w:rsidRPr="00F767EA" w:rsidRDefault="00025F41" w:rsidP="00984F11">
      <w:pPr>
        <w:pStyle w:val="mpcbullets1"/>
        <w:keepNext/>
        <w:numPr>
          <w:ilvl w:val="0"/>
          <w:numId w:val="0"/>
        </w:numPr>
        <w:rPr>
          <w:rFonts w:cstheme="minorHAnsi"/>
          <w:b/>
          <w:bCs/>
        </w:rPr>
      </w:pPr>
      <w:r w:rsidRPr="00F767EA">
        <w:rPr>
          <w:rFonts w:cstheme="minorHAnsi"/>
          <w:b/>
          <w:bCs/>
        </w:rPr>
        <w:t xml:space="preserve">National board under the National Scheme </w:t>
      </w:r>
    </w:p>
    <w:p w14:paraId="1A5356B2" w14:textId="77777777" w:rsidR="00025F41" w:rsidRPr="00F767EA" w:rsidRDefault="00025F41" w:rsidP="00984F11">
      <w:pPr>
        <w:pStyle w:val="mpcbullets1"/>
        <w:keepNext/>
        <w:numPr>
          <w:ilvl w:val="0"/>
          <w:numId w:val="0"/>
        </w:numPr>
        <w:rPr>
          <w:rFonts w:cstheme="minorHAnsi"/>
        </w:rPr>
      </w:pPr>
    </w:p>
    <w:p w14:paraId="0A31B18D" w14:textId="35821CA5" w:rsidR="00025F41" w:rsidRPr="00F767EA" w:rsidRDefault="00077759" w:rsidP="00984F11">
      <w:pPr>
        <w:pStyle w:val="mpcbullets1"/>
        <w:keepNext/>
        <w:numPr>
          <w:ilvl w:val="0"/>
          <w:numId w:val="0"/>
        </w:numPr>
        <w:rPr>
          <w:rFonts w:cstheme="minorHAnsi"/>
        </w:rPr>
      </w:pPr>
      <w:r>
        <w:rPr>
          <w:rFonts w:cstheme="minorHAnsi"/>
        </w:rPr>
        <w:t>S</w:t>
      </w:r>
      <w:r w:rsidR="00025F41" w:rsidRPr="00F767EA">
        <w:rPr>
          <w:rFonts w:cstheme="minorHAnsi"/>
        </w:rPr>
        <w:t xml:space="preserve">everal stakeholders </w:t>
      </w:r>
      <w:r>
        <w:rPr>
          <w:rFonts w:cstheme="minorHAnsi"/>
        </w:rPr>
        <w:t>considered t</w:t>
      </w:r>
      <w:r w:rsidR="00025F41" w:rsidRPr="00F767EA">
        <w:rPr>
          <w:rFonts w:cstheme="minorHAnsi"/>
        </w:rPr>
        <w:t>hat the National Scheme should be expanded to include PCWs</w:t>
      </w:r>
      <w:r w:rsidR="008040BD">
        <w:rPr>
          <w:rFonts w:cstheme="minorHAnsi"/>
        </w:rPr>
        <w:t>, with a board established for PCWs.</w:t>
      </w:r>
      <w:r w:rsidR="00025F41" w:rsidRPr="00F767EA">
        <w:rPr>
          <w:rFonts w:cstheme="minorHAnsi"/>
        </w:rPr>
        <w:t xml:space="preserve"> The </w:t>
      </w:r>
      <w:r w:rsidR="008040BD">
        <w:rPr>
          <w:rFonts w:cstheme="minorHAnsi"/>
        </w:rPr>
        <w:t>disadvantage of this approach is that it would deal with PCWs only and not the wider aged care workforce (noting that most stakeholders support worker clearances/risk assessment for aged care workers and not just PCWs)</w:t>
      </w:r>
      <w:r w:rsidR="00025F41" w:rsidRPr="00F767EA">
        <w:rPr>
          <w:rFonts w:cstheme="minorHAnsi"/>
        </w:rPr>
        <w:t xml:space="preserve">. Nonetheless, </w:t>
      </w:r>
      <w:r w:rsidR="00025F41">
        <w:rPr>
          <w:rFonts w:cstheme="minorHAnsi"/>
        </w:rPr>
        <w:t xml:space="preserve">some </w:t>
      </w:r>
      <w:r w:rsidR="00025F41" w:rsidRPr="00F767EA">
        <w:rPr>
          <w:rFonts w:cstheme="minorHAnsi"/>
        </w:rPr>
        <w:t>stakeholders were interested in seeing a national board specific to PCWs</w:t>
      </w:r>
      <w:r w:rsidR="00025F41">
        <w:rPr>
          <w:rFonts w:cstheme="minorHAnsi"/>
        </w:rPr>
        <w:t>,</w:t>
      </w:r>
      <w:r w:rsidR="00025F41" w:rsidRPr="00F767EA">
        <w:rPr>
          <w:rFonts w:cstheme="minorHAnsi"/>
        </w:rPr>
        <w:t xml:space="preserve"> which would support any future implementation of a broader registration scheme despite the limitations highlighted. </w:t>
      </w:r>
    </w:p>
    <w:p w14:paraId="2F751B42" w14:textId="77777777" w:rsidR="00025F41" w:rsidRPr="00F767EA" w:rsidRDefault="00025F41" w:rsidP="007C36E4">
      <w:pPr>
        <w:pStyle w:val="mpcbullets1"/>
        <w:numPr>
          <w:ilvl w:val="0"/>
          <w:numId w:val="0"/>
        </w:numPr>
        <w:rPr>
          <w:rFonts w:cstheme="minorHAnsi"/>
        </w:rPr>
      </w:pPr>
    </w:p>
    <w:p w14:paraId="3AA36CD2" w14:textId="77777777" w:rsidR="00025F41" w:rsidRPr="00F767EA" w:rsidRDefault="00025F41" w:rsidP="007C36E4">
      <w:pPr>
        <w:pStyle w:val="mpcbullets1"/>
        <w:numPr>
          <w:ilvl w:val="0"/>
          <w:numId w:val="0"/>
        </w:numPr>
        <w:rPr>
          <w:rFonts w:cstheme="minorHAnsi"/>
          <w:b/>
          <w:bCs/>
        </w:rPr>
      </w:pPr>
      <w:r w:rsidRPr="00F767EA">
        <w:rPr>
          <w:rFonts w:cstheme="minorHAnsi"/>
          <w:b/>
          <w:bCs/>
        </w:rPr>
        <w:t xml:space="preserve">Combining aged care and disability regulation into one body </w:t>
      </w:r>
    </w:p>
    <w:p w14:paraId="2A9296D2" w14:textId="77777777" w:rsidR="00025F41" w:rsidRPr="00F767EA" w:rsidRDefault="00025F41" w:rsidP="007C36E4">
      <w:pPr>
        <w:pStyle w:val="mpcbullets1"/>
        <w:numPr>
          <w:ilvl w:val="0"/>
          <w:numId w:val="0"/>
        </w:numPr>
        <w:rPr>
          <w:rFonts w:cstheme="minorHAnsi"/>
        </w:rPr>
      </w:pPr>
    </w:p>
    <w:p w14:paraId="54B0CAA8" w14:textId="5A76DB61" w:rsidR="00025F41" w:rsidRPr="00F767EA" w:rsidRDefault="00025F41" w:rsidP="007C36E4">
      <w:pPr>
        <w:pStyle w:val="mpcbullets1"/>
        <w:numPr>
          <w:ilvl w:val="0"/>
          <w:numId w:val="0"/>
        </w:numPr>
        <w:rPr>
          <w:rFonts w:cstheme="minorHAnsi"/>
        </w:rPr>
      </w:pPr>
      <w:r w:rsidRPr="00F767EA">
        <w:rPr>
          <w:rFonts w:cstheme="minorHAnsi"/>
        </w:rPr>
        <w:t>Stakeholders also suggested that if mutual recognition was a key feature of any scheme, consolidating the screening and complaint management of aged care workers with the NDIS Commission would be ideal. This would mean that the same WSU arrangements would feed into a similar register</w:t>
      </w:r>
      <w:r>
        <w:rPr>
          <w:rFonts w:cstheme="minorHAnsi"/>
        </w:rPr>
        <w:t xml:space="preserve"> to further</w:t>
      </w:r>
      <w:r w:rsidRPr="00F767EA">
        <w:rPr>
          <w:rFonts w:cstheme="minorHAnsi"/>
        </w:rPr>
        <w:t xml:space="preserve"> align two similar sectors. This</w:t>
      </w:r>
      <w:r w:rsidR="00F97E16">
        <w:rPr>
          <w:rFonts w:cstheme="minorHAnsi"/>
        </w:rPr>
        <w:t xml:space="preserve"> could also be achieved if </w:t>
      </w:r>
      <w:r w:rsidRPr="00F767EA">
        <w:rPr>
          <w:rFonts w:cstheme="minorHAnsi"/>
        </w:rPr>
        <w:t xml:space="preserve">screening considerations and a code of conduct were similar to the NDIS model. There was however concern about the capacity of the NDIS Commission to do this given the significant number of aged care workers (compared to disability workers) and the infancy of the NDIS Commission. </w:t>
      </w:r>
    </w:p>
    <w:p w14:paraId="1D5B7D1A" w14:textId="77777777" w:rsidR="00025F41" w:rsidRPr="00F767EA" w:rsidRDefault="00025F41" w:rsidP="007C36E4">
      <w:pPr>
        <w:pStyle w:val="mpcbullets1"/>
        <w:numPr>
          <w:ilvl w:val="0"/>
          <w:numId w:val="0"/>
        </w:numPr>
        <w:rPr>
          <w:rFonts w:cstheme="minorHAnsi"/>
        </w:rPr>
      </w:pPr>
    </w:p>
    <w:p w14:paraId="59DB21C4" w14:textId="5BBCE652" w:rsidR="00025F41" w:rsidRDefault="00F97E16" w:rsidP="007C36E4">
      <w:pPr>
        <w:pStyle w:val="mpcbullets1"/>
        <w:numPr>
          <w:ilvl w:val="0"/>
          <w:numId w:val="0"/>
        </w:numPr>
        <w:rPr>
          <w:rFonts w:cstheme="minorHAnsi"/>
        </w:rPr>
      </w:pPr>
      <w:r>
        <w:rPr>
          <w:rFonts w:cstheme="minorHAnsi"/>
        </w:rPr>
        <w:t>A number of s</w:t>
      </w:r>
      <w:r w:rsidR="00025F41" w:rsidRPr="00F767EA">
        <w:rPr>
          <w:rFonts w:cstheme="minorHAnsi"/>
        </w:rPr>
        <w:t>takeholders did however surmise that the most appropriate body would be determined once the</w:t>
      </w:r>
      <w:r w:rsidR="00025F41">
        <w:rPr>
          <w:rFonts w:cstheme="minorHAnsi"/>
        </w:rPr>
        <w:t xml:space="preserve"> full</w:t>
      </w:r>
      <w:r w:rsidR="00025F41" w:rsidRPr="00F767EA">
        <w:rPr>
          <w:rFonts w:cstheme="minorHAnsi"/>
        </w:rPr>
        <w:t xml:space="preserve"> scope and features of the</w:t>
      </w:r>
      <w:r w:rsidR="00025F41">
        <w:rPr>
          <w:rFonts w:cstheme="minorHAnsi"/>
        </w:rPr>
        <w:t xml:space="preserve"> aged care worker</w:t>
      </w:r>
      <w:r w:rsidR="00025F41" w:rsidRPr="00F767EA">
        <w:rPr>
          <w:rFonts w:cstheme="minorHAnsi"/>
        </w:rPr>
        <w:t xml:space="preserve"> regulation scheme were determined</w:t>
      </w:r>
      <w:r w:rsidR="00025F41" w:rsidRPr="006444F6">
        <w:rPr>
          <w:rFonts w:cstheme="minorHAnsi"/>
        </w:rPr>
        <w:t xml:space="preserve">. </w:t>
      </w:r>
    </w:p>
    <w:p w14:paraId="46AB3571" w14:textId="0158A187" w:rsidR="006E7A7F" w:rsidRDefault="006E7A7F" w:rsidP="007C36E4">
      <w:pPr>
        <w:pStyle w:val="mpcbullets1"/>
        <w:numPr>
          <w:ilvl w:val="0"/>
          <w:numId w:val="0"/>
        </w:numPr>
        <w:rPr>
          <w:rFonts w:cstheme="minorHAnsi"/>
        </w:rPr>
      </w:pPr>
      <w:r>
        <w:rPr>
          <w:rFonts w:cstheme="minorHAnsi"/>
        </w:rPr>
        <w:br w:type="page"/>
      </w:r>
    </w:p>
    <w:p w14:paraId="4039714A" w14:textId="77777777" w:rsidR="00025F41" w:rsidRDefault="00025F41" w:rsidP="007C36E4">
      <w:pPr>
        <w:pStyle w:val="mpcbullets1"/>
        <w:numPr>
          <w:ilvl w:val="0"/>
          <w:numId w:val="0"/>
        </w:numPr>
        <w:rPr>
          <w:rFonts w:cstheme="minorHAnsi"/>
        </w:rPr>
      </w:pPr>
    </w:p>
    <w:p w14:paraId="312E16B4" w14:textId="77777777" w:rsidR="00025F41" w:rsidRPr="00A16004" w:rsidRDefault="00025F41" w:rsidP="007C36E4">
      <w:pPr>
        <w:pStyle w:val="mpcheading2"/>
        <w:spacing w:after="0"/>
      </w:pPr>
      <w:bookmarkStart w:id="51" w:name="_Toc45807960"/>
      <w:bookmarkStart w:id="52" w:name="_Toc49253250"/>
      <w:r>
        <w:t>What should be included in a register?</w:t>
      </w:r>
      <w:bookmarkEnd w:id="51"/>
      <w:bookmarkEnd w:id="52"/>
    </w:p>
    <w:p w14:paraId="5029CB62" w14:textId="77777777" w:rsidR="00025F41" w:rsidRPr="00F767EA" w:rsidRDefault="00025F41" w:rsidP="007C36E4">
      <w:pPr>
        <w:rPr>
          <w:rFonts w:cstheme="minorHAnsi"/>
        </w:rPr>
      </w:pPr>
    </w:p>
    <w:p w14:paraId="6E6C6031" w14:textId="77777777" w:rsidR="00025F41" w:rsidRPr="00F767EA" w:rsidRDefault="00025F41" w:rsidP="007C36E4">
      <w:pPr>
        <w:rPr>
          <w:rFonts w:cstheme="minorHAnsi"/>
        </w:rPr>
      </w:pPr>
      <w:r w:rsidRPr="00F767EA">
        <w:rPr>
          <w:rFonts w:cstheme="minorHAnsi"/>
        </w:rPr>
        <w:t>Stakeholders overwhelmingly supported a joint register with both a positive and negative list</w:t>
      </w:r>
      <w:r>
        <w:rPr>
          <w:rFonts w:cstheme="minorHAnsi"/>
        </w:rPr>
        <w:t xml:space="preserve"> of workers</w:t>
      </w:r>
      <w:r w:rsidRPr="00F767EA">
        <w:rPr>
          <w:rFonts w:cstheme="minorHAnsi"/>
        </w:rPr>
        <w:t xml:space="preserve">. </w:t>
      </w:r>
    </w:p>
    <w:p w14:paraId="4EB31FBA" w14:textId="77777777" w:rsidR="00025F41" w:rsidRPr="00F767EA" w:rsidRDefault="00025F41" w:rsidP="007C36E4">
      <w:pPr>
        <w:rPr>
          <w:rFonts w:cstheme="minorHAnsi"/>
        </w:rPr>
      </w:pPr>
    </w:p>
    <w:p w14:paraId="48D4FA03" w14:textId="77777777" w:rsidR="00025F41" w:rsidRPr="00F767EA" w:rsidRDefault="00025F41" w:rsidP="007C36E4">
      <w:pPr>
        <w:pStyle w:val="mpcNormal"/>
        <w:pBdr>
          <w:top w:val="single" w:sz="4" w:space="1" w:color="auto"/>
          <w:left w:val="single" w:sz="4" w:space="4" w:color="auto"/>
          <w:bottom w:val="single" w:sz="4" w:space="1" w:color="auto"/>
          <w:right w:val="single" w:sz="4" w:space="4" w:color="auto"/>
        </w:pBdr>
        <w:shd w:val="clear" w:color="auto" w:fill="F2F2F2" w:themeFill="background1" w:themeFillShade="F2"/>
        <w:spacing w:after="0"/>
        <w:rPr>
          <w:rFonts w:cstheme="minorHAnsi"/>
        </w:rPr>
      </w:pPr>
      <w:r w:rsidRPr="00F767EA">
        <w:rPr>
          <w:rFonts w:cstheme="minorHAnsi"/>
        </w:rPr>
        <w:t>Of the stakeholders responding to online consultation:</w:t>
      </w:r>
    </w:p>
    <w:p w14:paraId="2D881DF5" w14:textId="77777777" w:rsidR="00025F41" w:rsidRPr="00F767EA" w:rsidRDefault="00025F41" w:rsidP="007C36E4">
      <w:pPr>
        <w:pStyle w:val="mpcNormal"/>
        <w:pBdr>
          <w:top w:val="single" w:sz="4" w:space="1" w:color="auto"/>
          <w:left w:val="single" w:sz="4" w:space="4" w:color="auto"/>
          <w:bottom w:val="single" w:sz="4" w:space="1" w:color="auto"/>
          <w:right w:val="single" w:sz="4" w:space="4" w:color="auto"/>
        </w:pBdr>
        <w:shd w:val="clear" w:color="auto" w:fill="F2F2F2" w:themeFill="background1" w:themeFillShade="F2"/>
        <w:spacing w:after="0"/>
        <w:rPr>
          <w:rFonts w:cstheme="minorHAnsi"/>
        </w:rPr>
      </w:pPr>
    </w:p>
    <w:p w14:paraId="34892B2A" w14:textId="77777777" w:rsidR="00025F41" w:rsidRPr="00F767EA" w:rsidRDefault="00025F41" w:rsidP="007C36E4">
      <w:pPr>
        <w:pStyle w:val="mpcbullets1"/>
        <w:pBdr>
          <w:top w:val="single" w:sz="4" w:space="1" w:color="auto"/>
          <w:left w:val="single" w:sz="4" w:space="4" w:color="auto"/>
          <w:bottom w:val="single" w:sz="4" w:space="1" w:color="auto"/>
          <w:right w:val="single" w:sz="4" w:space="4" w:color="auto"/>
        </w:pBdr>
        <w:shd w:val="clear" w:color="auto" w:fill="F2F2F2" w:themeFill="background1" w:themeFillShade="F2"/>
        <w:contextualSpacing/>
        <w:rPr>
          <w:rFonts w:cstheme="minorHAnsi"/>
        </w:rPr>
      </w:pPr>
      <w:r w:rsidRPr="00F767EA">
        <w:rPr>
          <w:rFonts w:cstheme="minorHAnsi"/>
        </w:rPr>
        <w:t>17% selected Option 1, ‘A list of workers who have been cleared to work in aged care (positive list)’</w:t>
      </w:r>
    </w:p>
    <w:p w14:paraId="0D49B39E" w14:textId="48DE9966" w:rsidR="00025F41" w:rsidRDefault="00025F41" w:rsidP="007C36E4">
      <w:pPr>
        <w:pStyle w:val="mpcbullets1"/>
        <w:pBdr>
          <w:top w:val="single" w:sz="4" w:space="1" w:color="auto"/>
          <w:left w:val="single" w:sz="4" w:space="4" w:color="auto"/>
          <w:bottom w:val="single" w:sz="4" w:space="1" w:color="auto"/>
          <w:right w:val="single" w:sz="4" w:space="4" w:color="auto"/>
        </w:pBdr>
        <w:shd w:val="clear" w:color="auto" w:fill="F2F2F2" w:themeFill="background1" w:themeFillShade="F2"/>
        <w:contextualSpacing/>
        <w:rPr>
          <w:rFonts w:cstheme="minorHAnsi"/>
        </w:rPr>
      </w:pPr>
      <w:r w:rsidRPr="00F767EA">
        <w:rPr>
          <w:rFonts w:cstheme="minorHAnsi"/>
        </w:rPr>
        <w:t>4% selected Option 2, ‘A list of workers who have been excluded from working in aged care (negative list)’</w:t>
      </w:r>
    </w:p>
    <w:p w14:paraId="1EAFA983" w14:textId="6BD83CF4" w:rsidR="00F97E16" w:rsidRPr="00F97E16" w:rsidRDefault="00F97E16" w:rsidP="00F97E16">
      <w:pPr>
        <w:pStyle w:val="mpcbullets1"/>
        <w:pBdr>
          <w:top w:val="single" w:sz="4" w:space="1" w:color="auto"/>
          <w:left w:val="single" w:sz="4" w:space="4" w:color="auto"/>
          <w:bottom w:val="single" w:sz="4" w:space="1" w:color="auto"/>
          <w:right w:val="single" w:sz="4" w:space="4" w:color="auto"/>
        </w:pBdr>
        <w:shd w:val="clear" w:color="auto" w:fill="F2F2F2" w:themeFill="background1" w:themeFillShade="F2"/>
        <w:contextualSpacing/>
        <w:rPr>
          <w:rFonts w:cstheme="minorHAnsi"/>
        </w:rPr>
      </w:pPr>
      <w:r w:rsidRPr="00F767EA">
        <w:rPr>
          <w:rFonts w:cstheme="minorHAnsi"/>
        </w:rPr>
        <w:t>63% selected Option 3, ‘A list of workers who have been cleared to work in aged care and a list of workers who are excluded from working in aged care’ as their preferred approach to a register</w:t>
      </w:r>
    </w:p>
    <w:p w14:paraId="5F7C6134" w14:textId="77777777" w:rsidR="00025F41" w:rsidRPr="00F767EA" w:rsidRDefault="00025F41" w:rsidP="007C36E4">
      <w:pPr>
        <w:pStyle w:val="mpcbullets1"/>
        <w:pBdr>
          <w:top w:val="single" w:sz="4" w:space="1" w:color="auto"/>
          <w:left w:val="single" w:sz="4" w:space="4" w:color="auto"/>
          <w:bottom w:val="single" w:sz="4" w:space="1" w:color="auto"/>
          <w:right w:val="single" w:sz="4" w:space="4" w:color="auto"/>
        </w:pBdr>
        <w:shd w:val="clear" w:color="auto" w:fill="F2F2F2" w:themeFill="background1" w:themeFillShade="F2"/>
        <w:contextualSpacing/>
        <w:rPr>
          <w:rFonts w:cstheme="minorHAnsi"/>
        </w:rPr>
      </w:pPr>
      <w:r w:rsidRPr="00F767EA">
        <w:rPr>
          <w:rFonts w:cstheme="minorHAnsi"/>
        </w:rPr>
        <w:t>16% did not answer.</w:t>
      </w:r>
    </w:p>
    <w:p w14:paraId="41A9F98F" w14:textId="77777777" w:rsidR="00025F41" w:rsidRPr="00F767EA" w:rsidRDefault="00025F41" w:rsidP="007C36E4">
      <w:pPr>
        <w:pStyle w:val="mpcbullets1"/>
        <w:numPr>
          <w:ilvl w:val="0"/>
          <w:numId w:val="0"/>
        </w:numPr>
        <w:rPr>
          <w:rFonts w:cstheme="minorHAnsi"/>
        </w:rPr>
      </w:pPr>
    </w:p>
    <w:p w14:paraId="30D7AB7B" w14:textId="63140568" w:rsidR="00025F41" w:rsidRPr="00F767EA" w:rsidRDefault="00025F41" w:rsidP="007C36E4">
      <w:pPr>
        <w:rPr>
          <w:rFonts w:cstheme="minorHAnsi"/>
        </w:rPr>
      </w:pPr>
      <w:r w:rsidRPr="00F767EA">
        <w:rPr>
          <w:rFonts w:cstheme="minorHAnsi"/>
        </w:rPr>
        <w:t xml:space="preserve">Stakeholders were </w:t>
      </w:r>
      <w:r w:rsidR="00F80AD1">
        <w:rPr>
          <w:rFonts w:cstheme="minorHAnsi"/>
        </w:rPr>
        <w:t xml:space="preserve">generally </w:t>
      </w:r>
      <w:r w:rsidRPr="00F767EA">
        <w:rPr>
          <w:rFonts w:cstheme="minorHAnsi"/>
        </w:rPr>
        <w:t xml:space="preserve">keen for a register to be publicly searchable (either noting those who are cleared or registered (i.e. complying with any registration standards)). A </w:t>
      </w:r>
      <w:r w:rsidR="00782534">
        <w:rPr>
          <w:rFonts w:cstheme="minorHAnsi"/>
        </w:rPr>
        <w:t>small number</w:t>
      </w:r>
      <w:r w:rsidRPr="00F767EA">
        <w:rPr>
          <w:rFonts w:cstheme="minorHAnsi"/>
        </w:rPr>
        <w:t xml:space="preserve"> of stakeholders suggested that the register should also hold a history of investigated and finalised complaints about a worker so that consumers and employers could be informed about matters that may not have necessarily impacted clearance decisions. </w:t>
      </w:r>
    </w:p>
    <w:p w14:paraId="5CDA60ED" w14:textId="77777777" w:rsidR="00025F41" w:rsidRPr="00F767EA" w:rsidRDefault="00025F41" w:rsidP="007C36E4">
      <w:pPr>
        <w:rPr>
          <w:rFonts w:cstheme="minorHAnsi"/>
        </w:rPr>
      </w:pPr>
    </w:p>
    <w:p w14:paraId="40C55CBC" w14:textId="47E4A16E" w:rsidR="00025F41" w:rsidRPr="00F767EA" w:rsidRDefault="00025F41" w:rsidP="007C36E4">
      <w:pPr>
        <w:rPr>
          <w:rFonts w:cstheme="minorHAnsi"/>
        </w:rPr>
      </w:pPr>
      <w:r w:rsidRPr="00F767EA">
        <w:rPr>
          <w:rFonts w:cstheme="minorHAnsi"/>
        </w:rPr>
        <w:t>For those stakeholders who advocated for a new national board for PCW</w:t>
      </w:r>
      <w:r w:rsidR="00782534">
        <w:rPr>
          <w:rFonts w:cstheme="minorHAnsi"/>
        </w:rPr>
        <w:t>s</w:t>
      </w:r>
      <w:r w:rsidRPr="00F767EA">
        <w:rPr>
          <w:rFonts w:cstheme="minorHAnsi"/>
        </w:rPr>
        <w:t xml:space="preserve">, the National Scheme’s </w:t>
      </w:r>
      <w:hyperlink r:id="rId12" w:history="1">
        <w:r w:rsidRPr="00F767EA">
          <w:rPr>
            <w:rStyle w:val="Hyperlink"/>
            <w:rFonts w:cstheme="minorHAnsi"/>
          </w:rPr>
          <w:t>Register of Practitioners</w:t>
        </w:r>
      </w:hyperlink>
      <w:r w:rsidRPr="00F767EA">
        <w:rPr>
          <w:rFonts w:cstheme="minorHAnsi"/>
        </w:rPr>
        <w:t xml:space="preserve"> was highlighted as an example of a positive and negative list which showed compliance with registration standards, any notations about complaints/adverse findings and where there were conditions on </w:t>
      </w:r>
      <w:r w:rsidR="00236569">
        <w:rPr>
          <w:rFonts w:cstheme="minorHAnsi"/>
        </w:rPr>
        <w:t xml:space="preserve">a </w:t>
      </w:r>
      <w:r w:rsidRPr="00F767EA">
        <w:rPr>
          <w:rFonts w:cstheme="minorHAnsi"/>
        </w:rPr>
        <w:t xml:space="preserve">worker’s practice. </w:t>
      </w:r>
    </w:p>
    <w:p w14:paraId="6E835CB4" w14:textId="77777777" w:rsidR="00025F41" w:rsidRPr="00F767EA" w:rsidRDefault="00025F41" w:rsidP="007C36E4">
      <w:pPr>
        <w:rPr>
          <w:rFonts w:cstheme="minorHAnsi"/>
        </w:rPr>
      </w:pPr>
    </w:p>
    <w:p w14:paraId="3781344B" w14:textId="49586DB5" w:rsidR="00025F41" w:rsidRPr="00F767EA" w:rsidRDefault="00782534" w:rsidP="007C36E4">
      <w:pPr>
        <w:rPr>
          <w:rFonts w:cstheme="minorHAnsi"/>
        </w:rPr>
      </w:pPr>
      <w:r>
        <w:rPr>
          <w:rFonts w:cstheme="minorHAnsi"/>
        </w:rPr>
        <w:t>M</w:t>
      </w:r>
      <w:r w:rsidR="00025F41" w:rsidRPr="00F767EA">
        <w:rPr>
          <w:rFonts w:cstheme="minorHAnsi"/>
        </w:rPr>
        <w:t xml:space="preserve">any stakeholders </w:t>
      </w:r>
      <w:r>
        <w:rPr>
          <w:rFonts w:cstheme="minorHAnsi"/>
        </w:rPr>
        <w:t xml:space="preserve">also </w:t>
      </w:r>
      <w:r w:rsidR="00025F41" w:rsidRPr="00F767EA">
        <w:rPr>
          <w:rFonts w:cstheme="minorHAnsi"/>
        </w:rPr>
        <w:t xml:space="preserve">mentioned the NDIS </w:t>
      </w:r>
      <w:r w:rsidR="009D2D14">
        <w:rPr>
          <w:rFonts w:cstheme="minorHAnsi"/>
        </w:rPr>
        <w:t>D</w:t>
      </w:r>
      <w:r w:rsidR="00025F41" w:rsidRPr="00F767EA">
        <w:rPr>
          <w:rFonts w:cstheme="minorHAnsi"/>
        </w:rPr>
        <w:t>atabase where clearance outcome</w:t>
      </w:r>
      <w:r w:rsidR="003F1551">
        <w:rPr>
          <w:rFonts w:cstheme="minorHAnsi"/>
        </w:rPr>
        <w:t>s</w:t>
      </w:r>
      <w:r w:rsidR="00025F41" w:rsidRPr="00F767EA">
        <w:rPr>
          <w:rFonts w:cstheme="minorHAnsi"/>
        </w:rPr>
        <w:t xml:space="preserve"> </w:t>
      </w:r>
      <w:r w:rsidR="003F1551">
        <w:rPr>
          <w:rFonts w:cstheme="minorHAnsi"/>
        </w:rPr>
        <w:t>will be</w:t>
      </w:r>
      <w:r w:rsidR="003F1551" w:rsidRPr="00F767EA">
        <w:rPr>
          <w:rFonts w:cstheme="minorHAnsi"/>
        </w:rPr>
        <w:t xml:space="preserve"> </w:t>
      </w:r>
      <w:r w:rsidR="00025F41" w:rsidRPr="00F767EA">
        <w:rPr>
          <w:rFonts w:cstheme="minorHAnsi"/>
        </w:rPr>
        <w:t xml:space="preserve">available on a database which is accessible to employers through a login. Employers </w:t>
      </w:r>
      <w:r w:rsidR="003F1551">
        <w:rPr>
          <w:rFonts w:cstheme="minorHAnsi"/>
        </w:rPr>
        <w:t xml:space="preserve">will be able to </w:t>
      </w:r>
      <w:r w:rsidR="00025F41" w:rsidRPr="00F767EA">
        <w:rPr>
          <w:rFonts w:cstheme="minorHAnsi"/>
        </w:rPr>
        <w:t xml:space="preserve">use the application number to confirm the clearance status given to them by the worker is valid. The NDIS Commission </w:t>
      </w:r>
      <w:r w:rsidR="003F1551">
        <w:rPr>
          <w:rFonts w:cstheme="minorHAnsi"/>
        </w:rPr>
        <w:t xml:space="preserve">will </w:t>
      </w:r>
      <w:r w:rsidR="00025F41" w:rsidRPr="00F767EA">
        <w:rPr>
          <w:rFonts w:cstheme="minorHAnsi"/>
        </w:rPr>
        <w:t xml:space="preserve">manage the database which essentially consolidates the outcomes of the WSUs’ decisions (not the information that sits behind the assessment). </w:t>
      </w:r>
    </w:p>
    <w:p w14:paraId="72BFF6BD" w14:textId="77777777" w:rsidR="00025F41" w:rsidRPr="00F767EA" w:rsidRDefault="00025F41" w:rsidP="007C36E4">
      <w:pPr>
        <w:rPr>
          <w:rFonts w:cstheme="minorHAnsi"/>
        </w:rPr>
      </w:pPr>
    </w:p>
    <w:p w14:paraId="4969942A" w14:textId="77777777" w:rsidR="00025F41" w:rsidRPr="00F767EA" w:rsidRDefault="00025F41" w:rsidP="007C36E4">
      <w:pPr>
        <w:rPr>
          <w:rFonts w:cstheme="minorHAnsi"/>
        </w:rPr>
      </w:pPr>
      <w:r w:rsidRPr="00F767EA">
        <w:rPr>
          <w:rFonts w:cstheme="minorHAnsi"/>
        </w:rPr>
        <w:t xml:space="preserve">Other stakeholders suggested an arrangement where the department is responsible for maintaining a basic register of cleared and excluded workers, and that this register be complemented by a public and/or industry-led register or registration scheme that acts like a passport for employment. </w:t>
      </w:r>
    </w:p>
    <w:p w14:paraId="7265F17C" w14:textId="77777777" w:rsidR="00025F41" w:rsidRPr="00F767EA" w:rsidRDefault="00025F41" w:rsidP="007C36E4">
      <w:pPr>
        <w:rPr>
          <w:rFonts w:cstheme="minorHAnsi"/>
        </w:rPr>
      </w:pPr>
    </w:p>
    <w:p w14:paraId="4BEE2745" w14:textId="607590A5" w:rsidR="00025F41" w:rsidRPr="00F767EA" w:rsidRDefault="00025F41" w:rsidP="007C36E4">
      <w:pPr>
        <w:pStyle w:val="mpcbullets1"/>
        <w:numPr>
          <w:ilvl w:val="0"/>
          <w:numId w:val="0"/>
        </w:numPr>
        <w:rPr>
          <w:rFonts w:cstheme="minorHAnsi"/>
        </w:rPr>
      </w:pPr>
      <w:r w:rsidRPr="00F767EA">
        <w:rPr>
          <w:rFonts w:cstheme="minorHAnsi"/>
        </w:rPr>
        <w:t>Stakeholders noted the benefits that can be gained through the sharing of platforms not only within aged care but also across sectors, noting</w:t>
      </w:r>
      <w:r w:rsidR="00AC6E12">
        <w:rPr>
          <w:rFonts w:cstheme="minorHAnsi"/>
        </w:rPr>
        <w:t xml:space="preserve"> that</w:t>
      </w:r>
      <w:r w:rsidRPr="00F767EA">
        <w:rPr>
          <w:rFonts w:cstheme="minorHAnsi"/>
        </w:rPr>
        <w:t xml:space="preserve"> information sharing is</w:t>
      </w:r>
      <w:r w:rsidR="00AC6E12">
        <w:rPr>
          <w:rFonts w:cstheme="minorHAnsi"/>
        </w:rPr>
        <w:t xml:space="preserve"> critical</w:t>
      </w:r>
      <w:r w:rsidRPr="00F767EA">
        <w:rPr>
          <w:rFonts w:cstheme="minorHAnsi"/>
        </w:rPr>
        <w:t xml:space="preserve"> to </w:t>
      </w:r>
      <w:r w:rsidR="00AC6E12" w:rsidRPr="00F767EA">
        <w:rPr>
          <w:rFonts w:cstheme="minorHAnsi"/>
        </w:rPr>
        <w:t>achieve</w:t>
      </w:r>
      <w:r w:rsidRPr="00F767EA">
        <w:rPr>
          <w:rFonts w:cstheme="minorHAnsi"/>
        </w:rPr>
        <w:t xml:space="preserve"> the objectives of the reform. </w:t>
      </w:r>
      <w:r w:rsidR="00AC6E12">
        <w:rPr>
          <w:rFonts w:cstheme="minorHAnsi"/>
        </w:rPr>
        <w:t xml:space="preserve">The </w:t>
      </w:r>
      <w:r w:rsidRPr="00F767EA">
        <w:rPr>
          <w:rFonts w:cstheme="minorHAnsi"/>
        </w:rPr>
        <w:t>opportunity for an</w:t>
      </w:r>
      <w:r w:rsidR="00AC6E12">
        <w:rPr>
          <w:rFonts w:cstheme="minorHAnsi"/>
        </w:rPr>
        <w:t xml:space="preserve"> </w:t>
      </w:r>
      <w:r w:rsidRPr="00F767EA">
        <w:rPr>
          <w:rFonts w:cstheme="minorHAnsi"/>
        </w:rPr>
        <w:t>aged care register</w:t>
      </w:r>
      <w:r w:rsidR="00AC6E12">
        <w:rPr>
          <w:rFonts w:cstheme="minorHAnsi"/>
        </w:rPr>
        <w:t xml:space="preserve"> </w:t>
      </w:r>
      <w:r w:rsidRPr="00F767EA">
        <w:rPr>
          <w:rFonts w:cstheme="minorHAnsi"/>
        </w:rPr>
        <w:t xml:space="preserve">to integrate with the NDIS </w:t>
      </w:r>
      <w:r w:rsidR="001D7958">
        <w:rPr>
          <w:rFonts w:cstheme="minorHAnsi"/>
        </w:rPr>
        <w:t>D</w:t>
      </w:r>
      <w:r w:rsidRPr="00F767EA">
        <w:rPr>
          <w:rFonts w:cstheme="minorHAnsi"/>
        </w:rPr>
        <w:t xml:space="preserve">atabase to ensure the sharing and tracking of </w:t>
      </w:r>
      <w:r w:rsidR="00AC6E12">
        <w:rPr>
          <w:rFonts w:cstheme="minorHAnsi"/>
        </w:rPr>
        <w:t xml:space="preserve">mutually relevant </w:t>
      </w:r>
      <w:r w:rsidRPr="00F767EA">
        <w:rPr>
          <w:rFonts w:cstheme="minorHAnsi"/>
        </w:rPr>
        <w:t>information</w:t>
      </w:r>
      <w:r w:rsidR="00AC6E12">
        <w:rPr>
          <w:rFonts w:cstheme="minorHAnsi"/>
        </w:rPr>
        <w:t xml:space="preserve"> was particularly noted</w:t>
      </w:r>
      <w:r w:rsidRPr="00F767EA">
        <w:rPr>
          <w:rFonts w:cstheme="minorHAnsi"/>
        </w:rPr>
        <w:t>.</w:t>
      </w:r>
    </w:p>
    <w:p w14:paraId="0A655A69" w14:textId="77777777" w:rsidR="00025F41" w:rsidRPr="00F767EA" w:rsidRDefault="00025F41" w:rsidP="007C36E4">
      <w:pPr>
        <w:pStyle w:val="mpcbullets1"/>
        <w:numPr>
          <w:ilvl w:val="0"/>
          <w:numId w:val="0"/>
        </w:numPr>
        <w:rPr>
          <w:rFonts w:cstheme="minorHAnsi"/>
        </w:rPr>
      </w:pPr>
    </w:p>
    <w:p w14:paraId="6D4A278A" w14:textId="21D1ED2D" w:rsidR="00025F41" w:rsidRPr="00F767EA" w:rsidRDefault="00025F41" w:rsidP="007C36E4">
      <w:pPr>
        <w:pStyle w:val="mpcbullets1"/>
        <w:numPr>
          <w:ilvl w:val="0"/>
          <w:numId w:val="0"/>
        </w:numPr>
        <w:rPr>
          <w:rFonts w:cstheme="minorHAnsi"/>
        </w:rPr>
      </w:pPr>
      <w:r w:rsidRPr="00F767EA">
        <w:rPr>
          <w:rFonts w:cstheme="minorHAnsi"/>
        </w:rPr>
        <w:t xml:space="preserve">Stakeholders referred to current projects such as those undertaken by the Foundation for Workforce Innovation and the Community Services Industry Alliance. Such projects incorporated the use of apps and online platforms that complement existing registers and databases held by </w:t>
      </w:r>
      <w:r w:rsidRPr="00F767EA">
        <w:rPr>
          <w:rFonts w:cstheme="minorHAnsi"/>
        </w:rPr>
        <w:lastRenderedPageBreak/>
        <w:t>government bodies, permitting workers to upload and store employment information including work history, acquired skills and, where applicable, evidence of meeting registration standards and legislative requirements</w:t>
      </w:r>
      <w:r w:rsidR="00AC6E12">
        <w:rPr>
          <w:rFonts w:cstheme="minorHAnsi"/>
        </w:rPr>
        <w:t xml:space="preserve"> (</w:t>
      </w:r>
      <w:r w:rsidRPr="00F767EA">
        <w:rPr>
          <w:rFonts w:cstheme="minorHAnsi"/>
        </w:rPr>
        <w:t>e.g. CPD hours and police check/clearance certificates</w:t>
      </w:r>
      <w:r w:rsidR="00AC6E12">
        <w:rPr>
          <w:rFonts w:cstheme="minorHAnsi"/>
        </w:rPr>
        <w:t>)</w:t>
      </w:r>
      <w:r w:rsidRPr="00F767EA">
        <w:rPr>
          <w:rFonts w:cstheme="minorHAnsi"/>
        </w:rPr>
        <w:t xml:space="preserve">. </w:t>
      </w:r>
    </w:p>
    <w:p w14:paraId="50DBB837" w14:textId="77777777" w:rsidR="00025F41" w:rsidRPr="00F767EA" w:rsidRDefault="00025F41" w:rsidP="007C36E4">
      <w:pPr>
        <w:pStyle w:val="mpcbullets1"/>
        <w:numPr>
          <w:ilvl w:val="0"/>
          <w:numId w:val="0"/>
        </w:numPr>
        <w:rPr>
          <w:rFonts w:cstheme="minorHAnsi"/>
        </w:rPr>
      </w:pPr>
    </w:p>
    <w:p w14:paraId="18370327" w14:textId="3B10448F" w:rsidR="00025F41" w:rsidRPr="00F767EA" w:rsidRDefault="00025F41" w:rsidP="007C36E4">
      <w:pPr>
        <w:pStyle w:val="mpcbullets1"/>
        <w:numPr>
          <w:ilvl w:val="0"/>
          <w:numId w:val="0"/>
        </w:numPr>
        <w:rPr>
          <w:rFonts w:cstheme="minorHAnsi"/>
        </w:rPr>
      </w:pPr>
      <w:r w:rsidRPr="00F767EA">
        <w:rPr>
          <w:rFonts w:cstheme="minorHAnsi"/>
        </w:rPr>
        <w:t>Such platforms permit workers to easily share their currency to work in sectors with employers, and to maintain records relevant to their experience where they are engaged by multiple employers or where they move interstate. Given the flexibility and broad application across different sectors, such projects are examples of technologies that could be expanded on for future use if workers were required to record evidence of their experience and suitability to work in aged care. </w:t>
      </w:r>
    </w:p>
    <w:p w14:paraId="1180BB99" w14:textId="77777777" w:rsidR="00025F41" w:rsidRPr="00F767EA" w:rsidRDefault="00025F41" w:rsidP="007C36E4">
      <w:pPr>
        <w:rPr>
          <w:rFonts w:cstheme="minorHAnsi"/>
        </w:rPr>
      </w:pPr>
    </w:p>
    <w:p w14:paraId="12A99A8D" w14:textId="77777777" w:rsidR="00025F41" w:rsidRPr="00F767EA" w:rsidRDefault="00025F41" w:rsidP="007C36E4">
      <w:pPr>
        <w:rPr>
          <w:rFonts w:cstheme="minorHAnsi"/>
        </w:rPr>
      </w:pPr>
      <w:r w:rsidRPr="00F767EA">
        <w:rPr>
          <w:rFonts w:cstheme="minorHAnsi"/>
        </w:rPr>
        <w:t xml:space="preserve">Stakeholders identified that the operation and content of any register would depend on the features of the worker regulation scheme and whether it extended to registration, and regardless of format, should be supported by legislated privacy protections. </w:t>
      </w:r>
    </w:p>
    <w:p w14:paraId="0F9ACF05" w14:textId="77777777" w:rsidR="00025F41" w:rsidRPr="006444F6" w:rsidRDefault="00025F41" w:rsidP="007C36E4">
      <w:pPr>
        <w:pStyle w:val="mpcbullets1"/>
        <w:numPr>
          <w:ilvl w:val="0"/>
          <w:numId w:val="0"/>
        </w:numPr>
      </w:pPr>
    </w:p>
    <w:p w14:paraId="4104A458" w14:textId="77777777" w:rsidR="00025F41" w:rsidRPr="006444F6" w:rsidRDefault="00025F41" w:rsidP="007C36E4">
      <w:pPr>
        <w:pStyle w:val="mpcheading2"/>
        <w:spacing w:after="0"/>
      </w:pPr>
      <w:bookmarkStart w:id="53" w:name="_Toc45807961"/>
      <w:bookmarkStart w:id="54" w:name="_Toc49253251"/>
      <w:r w:rsidRPr="006444F6">
        <w:t>Next steps/implementation</w:t>
      </w:r>
      <w:bookmarkEnd w:id="53"/>
      <w:bookmarkEnd w:id="54"/>
    </w:p>
    <w:p w14:paraId="7B3FEDCA" w14:textId="77777777" w:rsidR="00025F41" w:rsidRPr="00F767EA" w:rsidRDefault="00025F41" w:rsidP="007C36E4">
      <w:pPr>
        <w:pStyle w:val="mpcbullets1"/>
        <w:numPr>
          <w:ilvl w:val="0"/>
          <w:numId w:val="0"/>
        </w:numPr>
        <w:rPr>
          <w:rFonts w:cstheme="minorHAnsi"/>
        </w:rPr>
      </w:pPr>
    </w:p>
    <w:p w14:paraId="5E925F55" w14:textId="2D01027A" w:rsidR="00025F41" w:rsidRPr="00F767EA" w:rsidRDefault="00782534" w:rsidP="007C36E4">
      <w:pPr>
        <w:pStyle w:val="mpcbullets1"/>
        <w:numPr>
          <w:ilvl w:val="0"/>
          <w:numId w:val="0"/>
        </w:numPr>
        <w:rPr>
          <w:rFonts w:cstheme="minorHAnsi"/>
        </w:rPr>
      </w:pPr>
      <w:r>
        <w:rPr>
          <w:rFonts w:cstheme="minorHAnsi"/>
        </w:rPr>
        <w:t>Key</w:t>
      </w:r>
      <w:r w:rsidR="00025F41" w:rsidRPr="00F767EA">
        <w:rPr>
          <w:rFonts w:cstheme="minorHAnsi"/>
        </w:rPr>
        <w:t xml:space="preserve"> implementation issues for </w:t>
      </w:r>
      <w:r>
        <w:rPr>
          <w:rFonts w:cstheme="minorHAnsi"/>
        </w:rPr>
        <w:t xml:space="preserve">further consideration and </w:t>
      </w:r>
      <w:r w:rsidR="00025F41" w:rsidRPr="00F767EA">
        <w:rPr>
          <w:rFonts w:cstheme="minorHAnsi"/>
        </w:rPr>
        <w:t xml:space="preserve">consultation include: </w:t>
      </w:r>
    </w:p>
    <w:p w14:paraId="306030F2" w14:textId="77777777" w:rsidR="00025F41" w:rsidRPr="00F767EA" w:rsidRDefault="00025F41" w:rsidP="007C36E4">
      <w:pPr>
        <w:pStyle w:val="mpcbullets1"/>
        <w:numPr>
          <w:ilvl w:val="0"/>
          <w:numId w:val="0"/>
        </w:numPr>
        <w:rPr>
          <w:rFonts w:cstheme="minorHAnsi"/>
        </w:rPr>
      </w:pPr>
    </w:p>
    <w:p w14:paraId="3084A303" w14:textId="3B7DC28D" w:rsidR="00782534" w:rsidRPr="00200350" w:rsidRDefault="001D7958" w:rsidP="00200350">
      <w:pPr>
        <w:pStyle w:val="mpcbullets1"/>
      </w:pPr>
      <w:r w:rsidRPr="00200350">
        <w:t>h</w:t>
      </w:r>
      <w:r w:rsidR="00782534" w:rsidRPr="00200350">
        <w:t xml:space="preserve">ow clearances could be undertaken and whether this could be done by WSUs (as it is under the NDIS) (noting that this would require detailed discussions between the Commonwealth and States and Territories) </w:t>
      </w:r>
    </w:p>
    <w:p w14:paraId="7542916C" w14:textId="4CC4AF44" w:rsidR="00025F41" w:rsidRPr="00200350" w:rsidRDefault="00025F41" w:rsidP="00200350">
      <w:pPr>
        <w:pStyle w:val="mpcbullets1"/>
      </w:pPr>
      <w:r w:rsidRPr="00200350">
        <w:t xml:space="preserve">how ongoing monitoring of the clearance would be managed (e.g. </w:t>
      </w:r>
      <w:r w:rsidR="00D84C1A" w:rsidRPr="00200350">
        <w:t>o</w:t>
      </w:r>
      <w:r w:rsidRPr="00200350">
        <w:t xml:space="preserve">nce a worker has been cleared, whether the responsible body would be updated with real time information and conduct </w:t>
      </w:r>
      <w:r w:rsidR="00D84C1A" w:rsidRPr="00200350">
        <w:t>re</w:t>
      </w:r>
      <w:r w:rsidR="00695CAA" w:rsidRPr="00200350">
        <w:t>-</w:t>
      </w:r>
      <w:r w:rsidRPr="00200350">
        <w:t>assessment</w:t>
      </w:r>
      <w:r w:rsidR="00D84C1A" w:rsidRPr="00200350">
        <w:t>s</w:t>
      </w:r>
      <w:r w:rsidRPr="00200350">
        <w:t xml:space="preserve"> based on that information, or if annual assessments w</w:t>
      </w:r>
      <w:r w:rsidR="00D84C1A" w:rsidRPr="00200350">
        <w:t>ould be</w:t>
      </w:r>
      <w:r w:rsidRPr="00200350">
        <w:t xml:space="preserve"> undertaken to identify any risks that trigger a need for a further assessment)</w:t>
      </w:r>
    </w:p>
    <w:p w14:paraId="15D1D073" w14:textId="0693D6D6" w:rsidR="00025F41" w:rsidRPr="00200350" w:rsidRDefault="00025F41" w:rsidP="00200350">
      <w:pPr>
        <w:pStyle w:val="mpcbullets1"/>
      </w:pPr>
      <w:r w:rsidRPr="00200350">
        <w:t xml:space="preserve">the incorporation of procedural fairness mechanisms relevant to the decisions around clearance (e.g. </w:t>
      </w:r>
      <w:r w:rsidR="000C2F95" w:rsidRPr="00200350">
        <w:t>n</w:t>
      </w:r>
      <w:r w:rsidRPr="00200350">
        <w:t>otice of new information, opportunities to be heard prior to adverse decisions etc.)</w:t>
      </w:r>
    </w:p>
    <w:p w14:paraId="2D369B21" w14:textId="08FC2FF2" w:rsidR="00025F41" w:rsidRPr="00200350" w:rsidRDefault="00025F41" w:rsidP="00200350">
      <w:pPr>
        <w:pStyle w:val="mpcbullets1"/>
      </w:pPr>
      <w:r w:rsidRPr="00200350">
        <w:t>the expiry of any worker screening clearance (for example, whether 3 years would remain sufficient or if it could be extended to 5 years given real-time monitoring)</w:t>
      </w:r>
    </w:p>
    <w:p w14:paraId="22EA022E" w14:textId="77777777" w:rsidR="00025F41" w:rsidRPr="00200350" w:rsidRDefault="00025F41" w:rsidP="00200350">
      <w:pPr>
        <w:pStyle w:val="mpcbullets1"/>
      </w:pPr>
      <w:r w:rsidRPr="00200350">
        <w:t xml:space="preserve">the consequences that would stem from failing to be cleared (e.g. whether the worker is listed on a negative register for having failed clearance at the first attempt, or whether they are barred from reapplying for a certain period) </w:t>
      </w:r>
    </w:p>
    <w:p w14:paraId="0662533D" w14:textId="4DC818C7" w:rsidR="00025F41" w:rsidRPr="00200350" w:rsidRDefault="00025F41" w:rsidP="00200350">
      <w:pPr>
        <w:pStyle w:val="mpcbullets1"/>
      </w:pPr>
      <w:r w:rsidRPr="00200350">
        <w:t xml:space="preserve">what information an employer would be able to see or request </w:t>
      </w:r>
      <w:r w:rsidR="000C2F95" w:rsidRPr="00200350">
        <w:t>regarding what informed</w:t>
      </w:r>
      <w:r w:rsidRPr="00200350">
        <w:t xml:space="preserve"> a </w:t>
      </w:r>
      <w:r w:rsidR="000C2F95" w:rsidRPr="00200350">
        <w:t xml:space="preserve">screening </w:t>
      </w:r>
      <w:r w:rsidRPr="00200350">
        <w:t xml:space="preserve">decision (e.g. </w:t>
      </w:r>
      <w:r w:rsidR="007E7D94" w:rsidRPr="00200350">
        <w:t>should</w:t>
      </w:r>
      <w:r w:rsidRPr="00200350">
        <w:t xml:space="preserve"> the list of offences be provided to the employer</w:t>
      </w:r>
      <w:r w:rsidR="001D7958" w:rsidRPr="00200350">
        <w:t>?</w:t>
      </w:r>
      <w:r w:rsidRPr="00200350">
        <w:t>)</w:t>
      </w:r>
    </w:p>
    <w:p w14:paraId="05200B4D" w14:textId="77777777" w:rsidR="00025F41" w:rsidRPr="00200350" w:rsidRDefault="00025F41" w:rsidP="00200350">
      <w:pPr>
        <w:pStyle w:val="mpcbullets1"/>
      </w:pPr>
      <w:r w:rsidRPr="00200350">
        <w:t>any requirements for worker declarations that would trigger re-assessment of a worker’s clearance</w:t>
      </w:r>
    </w:p>
    <w:p w14:paraId="720AB960" w14:textId="106B572C" w:rsidR="00025F41" w:rsidRPr="00200350" w:rsidRDefault="00025F41" w:rsidP="00200350">
      <w:pPr>
        <w:pStyle w:val="mpcbullets1"/>
      </w:pPr>
      <w:r w:rsidRPr="00200350">
        <w:t xml:space="preserve">the alignment with the upcoming SIRS and how data analysis and information sharing could be expanded under SIRS and between other bodies to capture information specific to individual workers </w:t>
      </w:r>
      <w:r w:rsidR="00B95871" w:rsidRPr="00200350">
        <w:t>to</w:t>
      </w:r>
      <w:r w:rsidRPr="00200350">
        <w:t xml:space="preserve"> fe</w:t>
      </w:r>
      <w:r w:rsidR="001D7958" w:rsidRPr="00200350">
        <w:t>e</w:t>
      </w:r>
      <w:r w:rsidRPr="00200350">
        <w:t>d into any assessments</w:t>
      </w:r>
    </w:p>
    <w:p w14:paraId="20767F0E" w14:textId="2A6688E9" w:rsidR="00025F41" w:rsidRPr="00200350" w:rsidRDefault="00025F41" w:rsidP="00200350">
      <w:pPr>
        <w:pStyle w:val="mpcbullets1"/>
      </w:pPr>
      <w:r w:rsidRPr="00200350">
        <w:t>transition</w:t>
      </w:r>
      <w:r w:rsidR="00B95871" w:rsidRPr="00200350">
        <w:t>al</w:t>
      </w:r>
      <w:r w:rsidRPr="00200350">
        <w:t xml:space="preserve"> arrangements </w:t>
      </w:r>
      <w:r w:rsidR="00BC2EA2" w:rsidRPr="00200350">
        <w:t>for</w:t>
      </w:r>
      <w:r w:rsidRPr="00200350">
        <w:t xml:space="preserve"> provider-based police check reviews for existing workers.  </w:t>
      </w:r>
    </w:p>
    <w:p w14:paraId="7CF4F434" w14:textId="77777777" w:rsidR="00025F41" w:rsidRPr="00F767EA" w:rsidRDefault="00025F41" w:rsidP="007C36E4">
      <w:pPr>
        <w:pStyle w:val="mpcbullets1"/>
        <w:numPr>
          <w:ilvl w:val="0"/>
          <w:numId w:val="0"/>
        </w:numPr>
        <w:ind w:left="360" w:hanging="360"/>
        <w:rPr>
          <w:rFonts w:cstheme="minorHAnsi"/>
        </w:rPr>
      </w:pPr>
    </w:p>
    <w:p w14:paraId="1F805DB7" w14:textId="09C5850E" w:rsidR="00D37FF9" w:rsidRPr="00782534" w:rsidRDefault="00025F41" w:rsidP="00782534">
      <w:pPr>
        <w:pStyle w:val="mpcbullets1"/>
        <w:numPr>
          <w:ilvl w:val="0"/>
          <w:numId w:val="0"/>
        </w:numPr>
        <w:rPr>
          <w:rFonts w:cstheme="minorHAnsi"/>
        </w:rPr>
      </w:pPr>
      <w:r w:rsidRPr="00F767EA">
        <w:rPr>
          <w:rFonts w:cstheme="minorHAnsi"/>
        </w:rPr>
        <w:t xml:space="preserve">Finally, if registration were to be a feature of the broader worker regulation scheme, how the screening function would sit alongside registration standards and how such information would be stored as part of a register. </w:t>
      </w:r>
      <w:r w:rsidR="00D37FF9">
        <w:br w:type="page"/>
      </w:r>
    </w:p>
    <w:p w14:paraId="76D376AE" w14:textId="228D3D96" w:rsidR="00A16004" w:rsidRDefault="009D6693" w:rsidP="007C36E4">
      <w:pPr>
        <w:pStyle w:val="mpcheading1"/>
      </w:pPr>
      <w:bookmarkStart w:id="55" w:name="_Toc45868447"/>
      <w:bookmarkStart w:id="56" w:name="_Toc49253252"/>
      <w:r w:rsidRPr="009D6693">
        <w:lastRenderedPageBreak/>
        <w:t>Chapter 5 – </w:t>
      </w:r>
      <w:r w:rsidR="00E83572">
        <w:t xml:space="preserve">Registration </w:t>
      </w:r>
      <w:r w:rsidR="001245C5">
        <w:t>scheme</w:t>
      </w:r>
      <w:r w:rsidR="00E83572">
        <w:t xml:space="preserve"> for PCWs</w:t>
      </w:r>
      <w:bookmarkEnd w:id="55"/>
      <w:bookmarkEnd w:id="56"/>
      <w:r w:rsidRPr="009D6693">
        <w:t xml:space="preserve"> </w:t>
      </w:r>
    </w:p>
    <w:p w14:paraId="2AE4A524" w14:textId="5B91BF68" w:rsidR="0000445C" w:rsidRDefault="0000445C" w:rsidP="007C36E4">
      <w:pPr>
        <w:pStyle w:val="mpcbullets1"/>
        <w:numPr>
          <w:ilvl w:val="0"/>
          <w:numId w:val="0"/>
        </w:numPr>
      </w:pPr>
      <w:r w:rsidRPr="00ED1ECE">
        <w:t xml:space="preserve">Stakeholders generally agreed that there was value in building the skills of the </w:t>
      </w:r>
      <w:r w:rsidR="008F186C">
        <w:t xml:space="preserve">aged care </w:t>
      </w:r>
      <w:r w:rsidRPr="00ED1ECE">
        <w:t>workforce</w:t>
      </w:r>
      <w:r w:rsidR="008F186C">
        <w:t xml:space="preserve"> and that there were many ways that this could be done. One of the ways described in the Consultation Paper was through the setting of minimum qualifications, English proficiency and/or CPD.</w:t>
      </w:r>
      <w:r w:rsidRPr="00ED1ECE">
        <w:t xml:space="preserve"> While most stakeholders favoured a worker screening scheme (and code of conduct) that applied to aged care workers, it was generally agreed that minimum qualifications and CPD requirements more relevantly related to the role of PCWs. </w:t>
      </w:r>
    </w:p>
    <w:p w14:paraId="20A01C4A" w14:textId="77777777" w:rsidR="0000445C" w:rsidRPr="00ED1ECE" w:rsidRDefault="0000445C" w:rsidP="007C36E4">
      <w:pPr>
        <w:pStyle w:val="mpcbullets1"/>
        <w:numPr>
          <w:ilvl w:val="0"/>
          <w:numId w:val="0"/>
        </w:numPr>
      </w:pPr>
    </w:p>
    <w:p w14:paraId="3969FDED" w14:textId="3E29D2AE" w:rsidR="0000445C" w:rsidRDefault="0000445C" w:rsidP="007C36E4">
      <w:pPr>
        <w:pStyle w:val="mpcbullets1"/>
        <w:numPr>
          <w:ilvl w:val="0"/>
          <w:numId w:val="0"/>
        </w:numPr>
      </w:pPr>
      <w:r>
        <w:t xml:space="preserve">Having nationally applicable registration standards and a process for monitoring compliance with such standards was </w:t>
      </w:r>
      <w:r w:rsidR="00A643C0">
        <w:t xml:space="preserve">variously described </w:t>
      </w:r>
      <w:r>
        <w:t xml:space="preserve">as </w:t>
      </w:r>
      <w:r w:rsidR="00A643C0">
        <w:t xml:space="preserve">one way </w:t>
      </w:r>
      <w:r w:rsidRPr="00ED1ECE">
        <w:t xml:space="preserve">to </w:t>
      </w:r>
      <w:r w:rsidR="001D7958">
        <w:t>‘raise</w:t>
      </w:r>
      <w:r w:rsidR="001D7958" w:rsidRPr="00ED1ECE">
        <w:t xml:space="preserve"> </w:t>
      </w:r>
      <w:r w:rsidRPr="00ED1ECE">
        <w:t>the bar</w:t>
      </w:r>
      <w:r w:rsidR="001D7958">
        <w:t>’</w:t>
      </w:r>
      <w:r w:rsidRPr="00ED1ECE">
        <w:t xml:space="preserve"> and improv</w:t>
      </w:r>
      <w:r w:rsidR="00A643C0">
        <w:t>e</w:t>
      </w:r>
      <w:r>
        <w:t xml:space="preserve"> the</w:t>
      </w:r>
      <w:r w:rsidRPr="00ED1ECE">
        <w:t xml:space="preserve"> quality of </w:t>
      </w:r>
      <w:r>
        <w:t xml:space="preserve">aged </w:t>
      </w:r>
      <w:r w:rsidRPr="00ED1ECE">
        <w:t>care.</w:t>
      </w:r>
      <w:r>
        <w:t xml:space="preserve"> </w:t>
      </w:r>
    </w:p>
    <w:p w14:paraId="323F4C08" w14:textId="77777777" w:rsidR="0000445C" w:rsidRDefault="0000445C" w:rsidP="007C36E4">
      <w:pPr>
        <w:pStyle w:val="mpcbullets1"/>
        <w:numPr>
          <w:ilvl w:val="0"/>
          <w:numId w:val="0"/>
        </w:numPr>
      </w:pPr>
    </w:p>
    <w:p w14:paraId="4154AE11" w14:textId="7B989D33" w:rsidR="0000445C" w:rsidRDefault="0000445C" w:rsidP="007C36E4">
      <w:pPr>
        <w:pStyle w:val="mpcbullets1"/>
        <w:numPr>
          <w:ilvl w:val="0"/>
          <w:numId w:val="0"/>
        </w:numPr>
      </w:pPr>
      <w:r w:rsidRPr="00ED1ECE">
        <w:t>Although some stakeholders noted the direction of the NDIS, which did not introduce a registration scheme as part of its worker regulation on the basis that it wanted to emphasis</w:t>
      </w:r>
      <w:r w:rsidR="00236569">
        <w:t>e</w:t>
      </w:r>
      <w:r w:rsidRPr="00ED1ECE">
        <w:t xml:space="preserve"> choice and control for NDIS participants about who they engaged, </w:t>
      </w:r>
      <w:r w:rsidR="00B87329">
        <w:t>others expressed an</w:t>
      </w:r>
      <w:r w:rsidRPr="00ED1ECE">
        <w:t xml:space="preserve"> expectation that registration of some form should be introduced</w:t>
      </w:r>
      <w:r>
        <w:t xml:space="preserve"> to monitor the skills and competencies of PCWs. </w:t>
      </w:r>
    </w:p>
    <w:p w14:paraId="2A2BE548" w14:textId="7107B73F" w:rsidR="00E72123" w:rsidRDefault="00E72123" w:rsidP="007C36E4">
      <w:pPr>
        <w:pStyle w:val="mpcbullets1"/>
        <w:numPr>
          <w:ilvl w:val="0"/>
          <w:numId w:val="0"/>
        </w:numPr>
      </w:pPr>
    </w:p>
    <w:p w14:paraId="3F49D592" w14:textId="0B05971D" w:rsidR="00E72123" w:rsidRPr="00A26CA7" w:rsidRDefault="00E72123" w:rsidP="007C36E4">
      <w:pPr>
        <w:pStyle w:val="mpcbullets1"/>
        <w:numPr>
          <w:ilvl w:val="0"/>
          <w:numId w:val="0"/>
        </w:numPr>
      </w:pPr>
      <w:r w:rsidRPr="00A26CA7">
        <w:t xml:space="preserve">Stakeholders </w:t>
      </w:r>
      <w:r>
        <w:t xml:space="preserve">gave varying feedback as to how a registration scheme could be introduced </w:t>
      </w:r>
      <w:r w:rsidRPr="00A26CA7">
        <w:t>in the current workforce environment noting</w:t>
      </w:r>
      <w:r>
        <w:t xml:space="preserve"> the challenges of</w:t>
      </w:r>
      <w:r w:rsidRPr="00A26CA7">
        <w:t xml:space="preserve">: </w:t>
      </w:r>
    </w:p>
    <w:p w14:paraId="0E931BF5" w14:textId="77777777" w:rsidR="00E72123" w:rsidRPr="00A26CA7" w:rsidRDefault="00E72123" w:rsidP="007C36E4">
      <w:pPr>
        <w:pStyle w:val="mpcbullets1"/>
        <w:numPr>
          <w:ilvl w:val="0"/>
          <w:numId w:val="0"/>
        </w:numPr>
      </w:pPr>
    </w:p>
    <w:p w14:paraId="3CA43848" w14:textId="77777777" w:rsidR="00E72123" w:rsidRPr="00A26CA7" w:rsidRDefault="00E72123" w:rsidP="007C36E4">
      <w:pPr>
        <w:pStyle w:val="mpcbullets1"/>
        <w:rPr>
          <w:lang w:eastAsia="en-GB"/>
        </w:rPr>
      </w:pPr>
      <w:r w:rsidRPr="00A26CA7">
        <w:rPr>
          <w:lang w:eastAsia="en-GB"/>
        </w:rPr>
        <w:t>a large, low paid workforce</w:t>
      </w:r>
    </w:p>
    <w:p w14:paraId="030FF76E" w14:textId="54F78C2F" w:rsidR="00E72123" w:rsidRPr="00A26CA7" w:rsidRDefault="00E72123" w:rsidP="007C36E4">
      <w:pPr>
        <w:pStyle w:val="mpcbullets1"/>
        <w:rPr>
          <w:lang w:eastAsia="en-GB"/>
        </w:rPr>
      </w:pPr>
      <w:r>
        <w:rPr>
          <w:lang w:eastAsia="en-GB"/>
        </w:rPr>
        <w:t>an</w:t>
      </w:r>
      <w:r w:rsidRPr="00A26CA7">
        <w:rPr>
          <w:lang w:eastAsia="en-GB"/>
        </w:rPr>
        <w:t xml:space="preserve"> increasing demand for aged care workers</w:t>
      </w:r>
      <w:r w:rsidR="00462101">
        <w:rPr>
          <w:rStyle w:val="FootnoteReference"/>
          <w:lang w:eastAsia="en-GB"/>
        </w:rPr>
        <w:footnoteReference w:id="22"/>
      </w:r>
      <w:r w:rsidR="00B210E6">
        <w:rPr>
          <w:lang w:eastAsia="en-GB"/>
        </w:rPr>
        <w:t xml:space="preserve"> and the substantial proportion of PCWs in services</w:t>
      </w:r>
      <w:r w:rsidR="00B210E6">
        <w:rPr>
          <w:rStyle w:val="FootnoteReference"/>
          <w:lang w:eastAsia="en-GB"/>
        </w:rPr>
        <w:footnoteReference w:id="23"/>
      </w:r>
      <w:r w:rsidR="00B210E6">
        <w:rPr>
          <w:lang w:eastAsia="en-GB"/>
        </w:rPr>
        <w:t xml:space="preserve"> </w:t>
      </w:r>
    </w:p>
    <w:p w14:paraId="1693DF33" w14:textId="761B3C60" w:rsidR="00E72123" w:rsidRPr="00954F6E" w:rsidRDefault="00E72123" w:rsidP="007C36E4">
      <w:pPr>
        <w:pStyle w:val="mpcbullets1"/>
        <w:rPr>
          <w:lang w:eastAsia="en-GB"/>
        </w:rPr>
      </w:pPr>
      <w:r w:rsidRPr="00A26CA7">
        <w:rPr>
          <w:lang w:eastAsia="en-GB"/>
        </w:rPr>
        <w:t xml:space="preserve">the </w:t>
      </w:r>
      <w:r w:rsidRPr="00954F6E">
        <w:rPr>
          <w:lang w:eastAsia="en-GB"/>
        </w:rPr>
        <w:t>inherent limitations on regional and remote services to attract and retain staff</w:t>
      </w:r>
      <w:r>
        <w:rPr>
          <w:lang w:eastAsia="en-GB"/>
        </w:rPr>
        <w:t xml:space="preserve"> (</w:t>
      </w:r>
      <w:r w:rsidRPr="00954F6E">
        <w:rPr>
          <w:lang w:eastAsia="en-GB"/>
        </w:rPr>
        <w:t>and the</w:t>
      </w:r>
      <w:r>
        <w:rPr>
          <w:lang w:eastAsia="en-GB"/>
        </w:rPr>
        <w:t xml:space="preserve"> relative</w:t>
      </w:r>
      <w:r w:rsidRPr="00954F6E">
        <w:t xml:space="preserve"> impact</w:t>
      </w:r>
      <w:r>
        <w:t xml:space="preserve"> any</w:t>
      </w:r>
      <w:r w:rsidRPr="00954F6E">
        <w:t xml:space="preserve"> registration s</w:t>
      </w:r>
      <w:r>
        <w:t xml:space="preserve">cheme </w:t>
      </w:r>
      <w:r w:rsidRPr="00954F6E">
        <w:t>may have on the supply of worker</w:t>
      </w:r>
      <w:r>
        <w:t>s in these communities)</w:t>
      </w:r>
      <w:r w:rsidRPr="00954F6E">
        <w:t xml:space="preserve">. </w:t>
      </w:r>
    </w:p>
    <w:p w14:paraId="68A68FE0" w14:textId="77777777" w:rsidR="0000445C" w:rsidRDefault="0000445C" w:rsidP="007C36E4">
      <w:pPr>
        <w:pStyle w:val="mpcbullets1"/>
        <w:numPr>
          <w:ilvl w:val="0"/>
          <w:numId w:val="0"/>
        </w:numPr>
      </w:pPr>
    </w:p>
    <w:p w14:paraId="58EA6C13" w14:textId="08D41BC6" w:rsidR="0000445C" w:rsidRPr="00ED1ECE" w:rsidRDefault="0000445C" w:rsidP="007C36E4">
      <w:pPr>
        <w:pStyle w:val="mpcbullets1"/>
        <w:numPr>
          <w:ilvl w:val="0"/>
          <w:numId w:val="0"/>
        </w:numPr>
      </w:pPr>
      <w:r>
        <w:t>The</w:t>
      </w:r>
      <w:r w:rsidR="00236569">
        <w:t>re</w:t>
      </w:r>
      <w:r>
        <w:t xml:space="preserve"> was</w:t>
      </w:r>
      <w:r w:rsidR="00E72123">
        <w:t xml:space="preserve"> also</w:t>
      </w:r>
      <w:r>
        <w:t xml:space="preserve"> no consensus as to who would be responsible for overseeing compliance with any registration standards. Various options were offered by stakeholders and are detailed below. </w:t>
      </w:r>
    </w:p>
    <w:p w14:paraId="3440FDBA" w14:textId="77777777" w:rsidR="0000445C" w:rsidRPr="00ED1ECE" w:rsidRDefault="0000445C" w:rsidP="007C36E4">
      <w:pPr>
        <w:pStyle w:val="mpcbullets1"/>
        <w:numPr>
          <w:ilvl w:val="0"/>
          <w:numId w:val="0"/>
        </w:numPr>
      </w:pPr>
    </w:p>
    <w:p w14:paraId="19161895" w14:textId="491A5335" w:rsidR="000F16AC" w:rsidRDefault="0000445C" w:rsidP="007C36E4">
      <w:pPr>
        <w:pStyle w:val="mpcbullets1"/>
        <w:numPr>
          <w:ilvl w:val="0"/>
          <w:numId w:val="0"/>
        </w:numPr>
      </w:pPr>
      <w:r>
        <w:t>Regardless of the registration model adopted, t</w:t>
      </w:r>
      <w:r w:rsidRPr="00ED1ECE">
        <w:t xml:space="preserve">he significant issues </w:t>
      </w:r>
      <w:r w:rsidR="00236569">
        <w:t xml:space="preserve">associated </w:t>
      </w:r>
      <w:r>
        <w:t>with</w:t>
      </w:r>
      <w:r w:rsidRPr="00ED1ECE">
        <w:t xml:space="preserve"> transitioning the workforce to a registration scheme were noted.</w:t>
      </w:r>
      <w:r>
        <w:t xml:space="preserve"> </w:t>
      </w:r>
      <w:r w:rsidR="000F16AC">
        <w:t>Stakeholders reiterated that arrangements such as recognition of prior learning and grandfathering</w:t>
      </w:r>
      <w:r w:rsidR="00892795">
        <w:t xml:space="preserve"> arrangements</w:t>
      </w:r>
      <w:r w:rsidR="000F16AC">
        <w:t xml:space="preserve"> were key to assist</w:t>
      </w:r>
      <w:r w:rsidR="00892795">
        <w:t>ing</w:t>
      </w:r>
      <w:r w:rsidR="000F16AC">
        <w:t xml:space="preserve"> the existing workforce</w:t>
      </w:r>
      <w:r w:rsidR="00892795">
        <w:t xml:space="preserve"> to</w:t>
      </w:r>
      <w:r w:rsidR="000F16AC">
        <w:t xml:space="preserve"> remain in the sector. </w:t>
      </w:r>
    </w:p>
    <w:p w14:paraId="1850DCEF" w14:textId="77777777" w:rsidR="000F16AC" w:rsidRDefault="000F16AC" w:rsidP="007C36E4">
      <w:pPr>
        <w:pStyle w:val="mpcbullets1"/>
        <w:numPr>
          <w:ilvl w:val="0"/>
          <w:numId w:val="0"/>
        </w:numPr>
      </w:pPr>
    </w:p>
    <w:p w14:paraId="3C52A6D5" w14:textId="49001C69" w:rsidR="0000445C" w:rsidRPr="00ED1ECE" w:rsidRDefault="0000445C" w:rsidP="007C36E4">
      <w:pPr>
        <w:pStyle w:val="mpcbullets1"/>
        <w:numPr>
          <w:ilvl w:val="0"/>
          <w:numId w:val="0"/>
        </w:numPr>
      </w:pPr>
      <w:r w:rsidRPr="00ED1ECE">
        <w:t>Consistent with a key theme of the consultation, stakeholders felt strongly that the staged implementation of any new scheme was critical. Particularly the potential to implement a worker screening component, while time was taken to effectively develop a registration scheme</w:t>
      </w:r>
      <w:r w:rsidR="00B87329">
        <w:t xml:space="preserve"> for a smaller subset of workers (</w:t>
      </w:r>
      <w:r w:rsidR="001D7958">
        <w:t xml:space="preserve">i.e. </w:t>
      </w:r>
      <w:r w:rsidR="00B87329">
        <w:t>PCWs)</w:t>
      </w:r>
      <w:r w:rsidRPr="00ED1ECE">
        <w:t>.</w:t>
      </w:r>
    </w:p>
    <w:p w14:paraId="49D70030" w14:textId="77777777" w:rsidR="0000445C" w:rsidRPr="00ED1ECE" w:rsidRDefault="0000445C" w:rsidP="007C36E4">
      <w:pPr>
        <w:pStyle w:val="mpcbullets1"/>
        <w:numPr>
          <w:ilvl w:val="0"/>
          <w:numId w:val="0"/>
        </w:numPr>
      </w:pPr>
    </w:p>
    <w:p w14:paraId="582EFDDD" w14:textId="1244A393" w:rsidR="0000445C" w:rsidRPr="00ED1ECE" w:rsidRDefault="0000445C" w:rsidP="007C36E4">
      <w:pPr>
        <w:pStyle w:val="mpcbullets1"/>
        <w:numPr>
          <w:ilvl w:val="0"/>
          <w:numId w:val="0"/>
        </w:numPr>
      </w:pPr>
      <w:r w:rsidRPr="00ED1ECE">
        <w:lastRenderedPageBreak/>
        <w:t xml:space="preserve">Given the varying stakeholder feedback regarding the possible features of a registration scheme for PCWs, this chapter </w:t>
      </w:r>
      <w:r w:rsidR="007F401E">
        <w:t xml:space="preserve">discusses the </w:t>
      </w:r>
      <w:r w:rsidRPr="00ED1ECE">
        <w:t xml:space="preserve">following six key issues in greater detail: </w:t>
      </w:r>
    </w:p>
    <w:p w14:paraId="1DCDEB9E" w14:textId="77777777" w:rsidR="0000445C" w:rsidRPr="0040229B" w:rsidRDefault="0000445C" w:rsidP="007C36E4">
      <w:pPr>
        <w:pStyle w:val="mpcbullets1"/>
        <w:numPr>
          <w:ilvl w:val="0"/>
          <w:numId w:val="0"/>
        </w:numPr>
      </w:pPr>
    </w:p>
    <w:p w14:paraId="7FD4C830" w14:textId="6ACA5656" w:rsidR="0000445C" w:rsidRPr="0040229B" w:rsidRDefault="0000445C" w:rsidP="007C36E4">
      <w:pPr>
        <w:pStyle w:val="mpcbullets1"/>
        <w:rPr>
          <w:lang w:eastAsia="en-GB"/>
        </w:rPr>
      </w:pPr>
      <w:r w:rsidRPr="0040229B">
        <w:rPr>
          <w:lang w:eastAsia="en-GB"/>
        </w:rPr>
        <w:t>Who</w:t>
      </w:r>
      <w:r>
        <w:rPr>
          <w:lang w:eastAsia="en-GB"/>
        </w:rPr>
        <w:t xml:space="preserve"> should a</w:t>
      </w:r>
      <w:r w:rsidRPr="0040229B">
        <w:rPr>
          <w:lang w:eastAsia="en-GB"/>
        </w:rPr>
        <w:t xml:space="preserve"> registration</w:t>
      </w:r>
      <w:r>
        <w:rPr>
          <w:lang w:eastAsia="en-GB"/>
        </w:rPr>
        <w:t xml:space="preserve"> scheme</w:t>
      </w:r>
      <w:r w:rsidRPr="0040229B">
        <w:rPr>
          <w:lang w:eastAsia="en-GB"/>
        </w:rPr>
        <w:t xml:space="preserve"> apply to</w:t>
      </w:r>
      <w:r>
        <w:rPr>
          <w:lang w:eastAsia="en-GB"/>
        </w:rPr>
        <w:t>?</w:t>
      </w:r>
    </w:p>
    <w:p w14:paraId="2110D7B2" w14:textId="77777777" w:rsidR="0000445C" w:rsidRPr="0040229B" w:rsidRDefault="0000445C" w:rsidP="007C36E4">
      <w:pPr>
        <w:pStyle w:val="mpcbullets1"/>
        <w:rPr>
          <w:lang w:eastAsia="en-GB"/>
        </w:rPr>
      </w:pPr>
      <w:r w:rsidRPr="0040229B">
        <w:rPr>
          <w:lang w:eastAsia="en-GB"/>
        </w:rPr>
        <w:t xml:space="preserve">English proficiency </w:t>
      </w:r>
    </w:p>
    <w:p w14:paraId="1E2F7DB1" w14:textId="77777777" w:rsidR="0000445C" w:rsidRPr="00A32490" w:rsidRDefault="0000445C" w:rsidP="007C36E4">
      <w:pPr>
        <w:pStyle w:val="mpcbullets1"/>
        <w:rPr>
          <w:lang w:eastAsia="en-GB"/>
        </w:rPr>
      </w:pPr>
      <w:r w:rsidRPr="00A32490">
        <w:rPr>
          <w:lang w:eastAsia="en-GB"/>
        </w:rPr>
        <w:t>Minimum qualifications and competencies</w:t>
      </w:r>
    </w:p>
    <w:p w14:paraId="1EF5A15B" w14:textId="77777777" w:rsidR="0000445C" w:rsidRPr="00A32490" w:rsidRDefault="0000445C" w:rsidP="007C36E4">
      <w:pPr>
        <w:pStyle w:val="mpcbullets1"/>
        <w:rPr>
          <w:lang w:eastAsia="en-GB"/>
        </w:rPr>
      </w:pPr>
      <w:r w:rsidRPr="00A32490">
        <w:rPr>
          <w:lang w:eastAsia="en-GB"/>
        </w:rPr>
        <w:t>Continuing professional development</w:t>
      </w:r>
    </w:p>
    <w:p w14:paraId="503BE06C" w14:textId="0604F09B" w:rsidR="0000445C" w:rsidRPr="00A32490" w:rsidRDefault="00A32490" w:rsidP="007C36E4">
      <w:pPr>
        <w:pStyle w:val="mpcbullets1"/>
        <w:rPr>
          <w:lang w:eastAsia="en-GB"/>
        </w:rPr>
      </w:pPr>
      <w:r w:rsidRPr="00A32490">
        <w:rPr>
          <w:lang w:eastAsia="en-GB"/>
        </w:rPr>
        <w:t>Who</w:t>
      </w:r>
      <w:r w:rsidR="0000445C" w:rsidRPr="00A32490">
        <w:rPr>
          <w:lang w:eastAsia="en-GB"/>
        </w:rPr>
        <w:t xml:space="preserve"> </w:t>
      </w:r>
      <w:r w:rsidRPr="00A32490">
        <w:rPr>
          <w:lang w:eastAsia="en-GB"/>
        </w:rPr>
        <w:t>should manage a registration scheme</w:t>
      </w:r>
      <w:r w:rsidR="0000445C" w:rsidRPr="00A32490">
        <w:rPr>
          <w:lang w:eastAsia="en-GB"/>
        </w:rPr>
        <w:t xml:space="preserve">? </w:t>
      </w:r>
    </w:p>
    <w:p w14:paraId="241D6A33" w14:textId="77777777" w:rsidR="0000445C" w:rsidRPr="00A32490" w:rsidRDefault="0000445C" w:rsidP="007C36E4">
      <w:pPr>
        <w:pStyle w:val="mpcbullets1"/>
        <w:rPr>
          <w:lang w:eastAsia="en-GB"/>
        </w:rPr>
      </w:pPr>
      <w:r w:rsidRPr="00A32490">
        <w:rPr>
          <w:lang w:eastAsia="en-GB"/>
        </w:rPr>
        <w:t xml:space="preserve">Development and implementation considerations </w:t>
      </w:r>
    </w:p>
    <w:p w14:paraId="177FEDA3" w14:textId="77777777" w:rsidR="0000445C" w:rsidRDefault="0000445C" w:rsidP="007C36E4">
      <w:pPr>
        <w:pStyle w:val="mpcbullets1"/>
        <w:numPr>
          <w:ilvl w:val="0"/>
          <w:numId w:val="0"/>
        </w:numPr>
        <w:rPr>
          <w:lang w:eastAsia="en-GB"/>
        </w:rPr>
      </w:pPr>
    </w:p>
    <w:p w14:paraId="21CC4827" w14:textId="77777777" w:rsidR="0000445C" w:rsidRPr="00F753A7" w:rsidRDefault="0000445C" w:rsidP="007C36E4">
      <w:pPr>
        <w:pStyle w:val="mpcheading2"/>
        <w:keepNext/>
        <w:spacing w:after="0"/>
      </w:pPr>
      <w:bookmarkStart w:id="57" w:name="_Toc45791046"/>
      <w:bookmarkStart w:id="58" w:name="_Toc45868448"/>
      <w:bookmarkStart w:id="59" w:name="_Toc49253253"/>
      <w:r w:rsidRPr="00283FD1">
        <w:t>Who</w:t>
      </w:r>
      <w:r>
        <w:t xml:space="preserve"> should</w:t>
      </w:r>
      <w:r w:rsidRPr="00283FD1">
        <w:t xml:space="preserve"> </w:t>
      </w:r>
      <w:r>
        <w:t>a registration scheme</w:t>
      </w:r>
      <w:r w:rsidRPr="00283FD1">
        <w:t xml:space="preserve"> apply to</w:t>
      </w:r>
      <w:r>
        <w:t>?</w:t>
      </w:r>
      <w:bookmarkEnd w:id="57"/>
      <w:bookmarkEnd w:id="58"/>
      <w:bookmarkEnd w:id="59"/>
      <w:r w:rsidRPr="00283FD1">
        <w:t xml:space="preserve"> </w:t>
      </w:r>
    </w:p>
    <w:p w14:paraId="34F8D404" w14:textId="77777777" w:rsidR="0000445C" w:rsidRPr="00001C8D" w:rsidRDefault="0000445C" w:rsidP="007C36E4">
      <w:pPr>
        <w:pStyle w:val="mpcbullets1"/>
        <w:keepNext/>
        <w:numPr>
          <w:ilvl w:val="0"/>
          <w:numId w:val="0"/>
        </w:numPr>
        <w:rPr>
          <w:lang w:eastAsia="en-GB"/>
        </w:rPr>
      </w:pPr>
    </w:p>
    <w:p w14:paraId="48EA5ABF" w14:textId="5179CE2C" w:rsidR="0000445C" w:rsidRPr="00097627" w:rsidRDefault="0000445C" w:rsidP="007C36E4">
      <w:pPr>
        <w:pStyle w:val="mpcbullets1"/>
        <w:keepNext/>
        <w:numPr>
          <w:ilvl w:val="0"/>
          <w:numId w:val="0"/>
        </w:numPr>
        <w:rPr>
          <w:lang w:eastAsia="en-GB"/>
        </w:rPr>
      </w:pPr>
      <w:r w:rsidRPr="00020FFD">
        <w:rPr>
          <w:lang w:eastAsia="en-GB"/>
        </w:rPr>
        <w:t>Stakeholders</w:t>
      </w:r>
      <w:r w:rsidRPr="00097627">
        <w:rPr>
          <w:lang w:eastAsia="en-GB"/>
        </w:rPr>
        <w:t xml:space="preserve"> consistently stated that registration standar</w:t>
      </w:r>
      <w:r w:rsidR="007F3D91" w:rsidRPr="00097627">
        <w:rPr>
          <w:lang w:eastAsia="en-GB"/>
        </w:rPr>
        <w:t>d</w:t>
      </w:r>
      <w:r w:rsidRPr="00097627">
        <w:rPr>
          <w:lang w:eastAsia="en-GB"/>
        </w:rPr>
        <w:t xml:space="preserve">s need not apply to </w:t>
      </w:r>
      <w:r w:rsidR="00625BFE">
        <w:rPr>
          <w:lang w:eastAsia="en-GB"/>
        </w:rPr>
        <w:t xml:space="preserve">all types of </w:t>
      </w:r>
      <w:r w:rsidRPr="00097627">
        <w:rPr>
          <w:lang w:eastAsia="en-GB"/>
        </w:rPr>
        <w:t xml:space="preserve">aged care workers and that the focus should be on those workers in direct contact with consumers who provide personal assistance (i.e. PCWs). </w:t>
      </w:r>
    </w:p>
    <w:p w14:paraId="0FB35877" w14:textId="6E557577" w:rsidR="00B965AA" w:rsidRPr="00097627" w:rsidRDefault="00B965AA" w:rsidP="007C36E4">
      <w:pPr>
        <w:pStyle w:val="mpcbullets1"/>
        <w:keepNext/>
        <w:numPr>
          <w:ilvl w:val="0"/>
          <w:numId w:val="0"/>
        </w:numPr>
        <w:rPr>
          <w:lang w:eastAsia="en-GB"/>
        </w:rPr>
      </w:pPr>
    </w:p>
    <w:p w14:paraId="42CA83DE" w14:textId="5893CA3D" w:rsidR="00462101" w:rsidRPr="00097627" w:rsidRDefault="00B965AA" w:rsidP="00B965AA">
      <w:pPr>
        <w:pStyle w:val="mpcbullets1"/>
        <w:keepNext/>
        <w:numPr>
          <w:ilvl w:val="0"/>
          <w:numId w:val="0"/>
        </w:numPr>
      </w:pPr>
      <w:r w:rsidRPr="00097627">
        <w:t>PCWs</w:t>
      </w:r>
      <w:r w:rsidR="00407D50" w:rsidRPr="00097627">
        <w:t xml:space="preserve"> </w:t>
      </w:r>
      <w:r w:rsidR="00462101" w:rsidRPr="00097627">
        <w:t>operate across all aged care service settings and</w:t>
      </w:r>
      <w:r w:rsidR="00407D50" w:rsidRPr="00097627">
        <w:t xml:space="preserve"> </w:t>
      </w:r>
      <w:r w:rsidRPr="00097627">
        <w:t xml:space="preserve">provide personal care to </w:t>
      </w:r>
      <w:r w:rsidR="00407D50" w:rsidRPr="00097627">
        <w:t>consumers</w:t>
      </w:r>
      <w:r w:rsidRPr="00097627">
        <w:t xml:space="preserve"> as a core part of their job</w:t>
      </w:r>
      <w:r w:rsidRPr="00097627">
        <w:rPr>
          <w:rStyle w:val="FootnoteReference"/>
          <w:rFonts w:cstheme="minorHAnsi"/>
        </w:rPr>
        <w:footnoteReference w:id="24"/>
      </w:r>
      <w:r w:rsidR="00462101" w:rsidRPr="00097627">
        <w:t xml:space="preserve">. </w:t>
      </w:r>
      <w:r w:rsidRPr="00097627">
        <w:t xml:space="preserve">PCWs </w:t>
      </w:r>
      <w:r w:rsidR="00462101" w:rsidRPr="00097627">
        <w:t>are variously named and</w:t>
      </w:r>
      <w:r w:rsidRPr="00097627">
        <w:t xml:space="preserve"> include</w:t>
      </w:r>
      <w:r w:rsidR="00020FFD">
        <w:t>, for example,</w:t>
      </w:r>
      <w:r w:rsidRPr="00097627">
        <w:t xml:space="preserve"> Assistants in Nursing (AINs), care support workers, health care assistants, personal care assistants</w:t>
      </w:r>
      <w:r w:rsidR="000A3217">
        <w:t xml:space="preserve"> (PCAs)</w:t>
      </w:r>
      <w:r w:rsidRPr="00097627">
        <w:t>, community support workers and community care workers</w:t>
      </w:r>
      <w:r w:rsidR="00462101" w:rsidRPr="00097627">
        <w:t xml:space="preserve">. </w:t>
      </w:r>
      <w:r w:rsidR="00300342" w:rsidRPr="00097627">
        <w:t>Noting that there is no single, widely accepted definition of a PCW, their role is underpinned by</w:t>
      </w:r>
      <w:r w:rsidRPr="00097627">
        <w:t xml:space="preserve"> provid</w:t>
      </w:r>
      <w:r w:rsidR="00300342" w:rsidRPr="00097627">
        <w:t>ing</w:t>
      </w:r>
      <w:r w:rsidRPr="00097627">
        <w:t xml:space="preserve"> direct personal care </w:t>
      </w:r>
      <w:r w:rsidR="00F27294" w:rsidRPr="00097627">
        <w:t>to consumers</w:t>
      </w:r>
      <w:r w:rsidRPr="00097627">
        <w:t xml:space="preserve">. </w:t>
      </w:r>
    </w:p>
    <w:p w14:paraId="02AABDFE" w14:textId="77777777" w:rsidR="00462101" w:rsidRPr="00097627" w:rsidRDefault="00462101" w:rsidP="00B965AA">
      <w:pPr>
        <w:pStyle w:val="mpcbullets1"/>
        <w:keepNext/>
        <w:numPr>
          <w:ilvl w:val="0"/>
          <w:numId w:val="0"/>
        </w:numPr>
      </w:pPr>
    </w:p>
    <w:p w14:paraId="373E5858" w14:textId="4F194DBA" w:rsidR="0000445C" w:rsidRDefault="00B965AA" w:rsidP="00625BFE">
      <w:pPr>
        <w:pStyle w:val="mpcbullets1"/>
        <w:keepNext/>
        <w:numPr>
          <w:ilvl w:val="0"/>
          <w:numId w:val="0"/>
        </w:numPr>
        <w:rPr>
          <w:lang w:eastAsia="en-GB"/>
        </w:rPr>
      </w:pPr>
      <w:r w:rsidRPr="00097627">
        <w:t xml:space="preserve">In residential care, </w:t>
      </w:r>
      <w:r w:rsidR="00462101" w:rsidRPr="00097627">
        <w:t>PCWs</w:t>
      </w:r>
      <w:r w:rsidRPr="00097627">
        <w:t xml:space="preserve"> </w:t>
      </w:r>
      <w:r w:rsidR="00F71311" w:rsidRPr="00097627">
        <w:t xml:space="preserve">comprise </w:t>
      </w:r>
      <w:r w:rsidRPr="00097627">
        <w:t>70 per cent of the direct care workforce, and in</w:t>
      </w:r>
      <w:r w:rsidR="00236569" w:rsidRPr="00097627">
        <w:t xml:space="preserve"> </w:t>
      </w:r>
      <w:r w:rsidRPr="00097627">
        <w:t xml:space="preserve">home care and home support, they </w:t>
      </w:r>
      <w:r w:rsidR="00F27294" w:rsidRPr="00097627">
        <w:t>comprise</w:t>
      </w:r>
      <w:r w:rsidRPr="00097627">
        <w:t xml:space="preserve"> 84 per cent</w:t>
      </w:r>
      <w:r w:rsidRPr="00097627">
        <w:rPr>
          <w:vertAlign w:val="superscript"/>
        </w:rPr>
        <w:footnoteReference w:id="25"/>
      </w:r>
      <w:r w:rsidRPr="00097627">
        <w:t xml:space="preserve"> (which equates to 108,126</w:t>
      </w:r>
      <w:r w:rsidRPr="00097627">
        <w:rPr>
          <w:rStyle w:val="FootnoteReference"/>
          <w:rFonts w:cstheme="minorHAnsi"/>
        </w:rPr>
        <w:footnoteReference w:id="26"/>
      </w:r>
      <w:r w:rsidRPr="00097627">
        <w:t xml:space="preserve"> PCWs)</w:t>
      </w:r>
      <w:r w:rsidR="00462101" w:rsidRPr="00097627">
        <w:t xml:space="preserve">. </w:t>
      </w:r>
      <w:r w:rsidR="00277BF0" w:rsidRPr="00097627">
        <w:rPr>
          <w:lang w:eastAsia="en-GB"/>
        </w:rPr>
        <w:t>Consistent with these numbers, s</w:t>
      </w:r>
      <w:r w:rsidR="0000445C" w:rsidRPr="00097627">
        <w:rPr>
          <w:lang w:eastAsia="en-GB"/>
        </w:rPr>
        <w:t>takeholders recognised that PCWs make up the largest cohort of aged care worker</w:t>
      </w:r>
      <w:r w:rsidR="00625BFE">
        <w:rPr>
          <w:lang w:eastAsia="en-GB"/>
        </w:rPr>
        <w:t xml:space="preserve">s and </w:t>
      </w:r>
      <w:r w:rsidR="007F3D91" w:rsidRPr="00097627">
        <w:rPr>
          <w:lang w:eastAsia="en-GB"/>
        </w:rPr>
        <w:t>identified th</w:t>
      </w:r>
      <w:r w:rsidR="00AA2420" w:rsidRPr="00097627">
        <w:rPr>
          <w:lang w:eastAsia="en-GB"/>
        </w:rPr>
        <w:t>e</w:t>
      </w:r>
      <w:r w:rsidR="007F3D91" w:rsidRPr="00097627">
        <w:rPr>
          <w:lang w:eastAsia="en-GB"/>
        </w:rPr>
        <w:t xml:space="preserve"> real potential for regulation </w:t>
      </w:r>
      <w:r w:rsidR="007F6AE9" w:rsidRPr="00097627">
        <w:rPr>
          <w:lang w:eastAsia="en-GB"/>
        </w:rPr>
        <w:t>of</w:t>
      </w:r>
      <w:r w:rsidR="007F3D91" w:rsidRPr="00097627">
        <w:rPr>
          <w:lang w:eastAsia="en-GB"/>
        </w:rPr>
        <w:t xml:space="preserve"> PCWs</w:t>
      </w:r>
      <w:r w:rsidR="002C675C">
        <w:rPr>
          <w:lang w:eastAsia="en-GB"/>
        </w:rPr>
        <w:t>, including through mandatory qualifications and CPD,</w:t>
      </w:r>
      <w:r w:rsidR="007F3D91" w:rsidRPr="00097627">
        <w:rPr>
          <w:lang w:eastAsia="en-GB"/>
        </w:rPr>
        <w:t xml:space="preserve"> to have the greatest impact in regard to improving quality of care in the aged care space. </w:t>
      </w:r>
    </w:p>
    <w:p w14:paraId="6DCFE615" w14:textId="77777777" w:rsidR="0000445C" w:rsidRPr="00097627" w:rsidRDefault="0000445C" w:rsidP="007C36E4">
      <w:pPr>
        <w:pStyle w:val="mpcbullets1"/>
        <w:numPr>
          <w:ilvl w:val="0"/>
          <w:numId w:val="0"/>
        </w:numPr>
        <w:rPr>
          <w:lang w:eastAsia="en-GB"/>
        </w:rPr>
      </w:pPr>
    </w:p>
    <w:p w14:paraId="5BBAA3B8" w14:textId="6545A00B" w:rsidR="0000445C" w:rsidRDefault="0000445C" w:rsidP="007C36E4">
      <w:pPr>
        <w:pStyle w:val="mpcbullets1"/>
        <w:numPr>
          <w:ilvl w:val="0"/>
          <w:numId w:val="0"/>
        </w:numPr>
        <w:rPr>
          <w:lang w:eastAsia="en-GB"/>
        </w:rPr>
      </w:pPr>
      <w:r w:rsidRPr="00097627">
        <w:rPr>
          <w:lang w:eastAsia="en-GB"/>
        </w:rPr>
        <w:t xml:space="preserve">With the exception of English proficiency standards, where the importance of all </w:t>
      </w:r>
      <w:r w:rsidRPr="00097627">
        <w:t>workers having proficiency in English was noted</w:t>
      </w:r>
      <w:r w:rsidRPr="00097627">
        <w:rPr>
          <w:lang w:eastAsia="en-GB"/>
        </w:rPr>
        <w:t>, stakeholders felt that a registration scheme was most relevant to PCWs.</w:t>
      </w:r>
      <w:r w:rsidRPr="00001C8D">
        <w:rPr>
          <w:lang w:eastAsia="en-GB"/>
        </w:rPr>
        <w:t xml:space="preserve"> </w:t>
      </w:r>
    </w:p>
    <w:p w14:paraId="15C43E27" w14:textId="77777777" w:rsidR="00625BFE" w:rsidRPr="00001C8D" w:rsidRDefault="00625BFE" w:rsidP="007C36E4">
      <w:pPr>
        <w:pStyle w:val="mpcbullets1"/>
        <w:numPr>
          <w:ilvl w:val="0"/>
          <w:numId w:val="0"/>
        </w:numPr>
        <w:rPr>
          <w:lang w:eastAsia="en-GB"/>
        </w:rPr>
      </w:pPr>
    </w:p>
    <w:p w14:paraId="07DB43E1" w14:textId="01C7D4BA" w:rsidR="0000445C" w:rsidRDefault="00984F11" w:rsidP="007C36E4">
      <w:pPr>
        <w:pStyle w:val="mpcbullets1"/>
        <w:numPr>
          <w:ilvl w:val="0"/>
          <w:numId w:val="0"/>
        </w:numPr>
        <w:rPr>
          <w:lang w:eastAsia="en-GB"/>
        </w:rPr>
      </w:pPr>
      <w:r>
        <w:rPr>
          <w:lang w:eastAsia="en-GB"/>
        </w:rPr>
        <w:br w:type="page"/>
      </w:r>
    </w:p>
    <w:p w14:paraId="69F8119E" w14:textId="77777777" w:rsidR="0000445C" w:rsidRPr="00240C83" w:rsidRDefault="0000445C" w:rsidP="007C36E4">
      <w:pPr>
        <w:pStyle w:val="mpcheading2"/>
        <w:spacing w:after="0"/>
      </w:pPr>
      <w:bookmarkStart w:id="60" w:name="_Toc45791047"/>
      <w:bookmarkStart w:id="61" w:name="_Toc45868449"/>
      <w:bookmarkStart w:id="62" w:name="_Toc49253254"/>
      <w:r w:rsidRPr="00283FD1">
        <w:lastRenderedPageBreak/>
        <w:t>English proficiency</w:t>
      </w:r>
      <w:bookmarkEnd w:id="60"/>
      <w:bookmarkEnd w:id="61"/>
      <w:bookmarkEnd w:id="62"/>
      <w:r w:rsidRPr="00283FD1">
        <w:t xml:space="preserve"> </w:t>
      </w:r>
    </w:p>
    <w:p w14:paraId="6CC8CB2A" w14:textId="77777777" w:rsidR="0000445C" w:rsidRDefault="0000445C" w:rsidP="007C36E4">
      <w:pPr>
        <w:rPr>
          <w:rFonts w:cstheme="minorHAnsi"/>
        </w:rPr>
      </w:pPr>
    </w:p>
    <w:p w14:paraId="6E26F241" w14:textId="77777777" w:rsidR="0000445C" w:rsidRPr="00A26CA7" w:rsidRDefault="0000445C" w:rsidP="007C36E4">
      <w:pPr>
        <w:pBdr>
          <w:top w:val="single" w:sz="4" w:space="1" w:color="auto"/>
          <w:left w:val="single" w:sz="4" w:space="4" w:color="auto"/>
          <w:bottom w:val="single" w:sz="4" w:space="1" w:color="auto"/>
          <w:right w:val="single" w:sz="4" w:space="4" w:color="auto"/>
        </w:pBdr>
        <w:shd w:val="clear" w:color="auto" w:fill="F2F2F2" w:themeFill="background1" w:themeFillShade="F2"/>
        <w:rPr>
          <w:rFonts w:cstheme="minorHAnsi"/>
        </w:rPr>
      </w:pPr>
      <w:r w:rsidRPr="00A26CA7">
        <w:rPr>
          <w:rFonts w:cstheme="minorHAnsi"/>
        </w:rPr>
        <w:t>Of the stakeholders responding to online consultation:</w:t>
      </w:r>
    </w:p>
    <w:p w14:paraId="6728AC4F" w14:textId="77777777" w:rsidR="0000445C" w:rsidRPr="00A26CA7" w:rsidRDefault="0000445C" w:rsidP="007C36E4">
      <w:pPr>
        <w:pBdr>
          <w:top w:val="single" w:sz="4" w:space="1" w:color="auto"/>
          <w:left w:val="single" w:sz="4" w:space="4" w:color="auto"/>
          <w:bottom w:val="single" w:sz="4" w:space="1" w:color="auto"/>
          <w:right w:val="single" w:sz="4" w:space="4" w:color="auto"/>
        </w:pBdr>
        <w:shd w:val="clear" w:color="auto" w:fill="F2F2F2" w:themeFill="background1" w:themeFillShade="F2"/>
        <w:rPr>
          <w:rFonts w:cstheme="minorHAnsi"/>
        </w:rPr>
      </w:pPr>
    </w:p>
    <w:p w14:paraId="3190D2FC" w14:textId="521BA37C" w:rsidR="008813CF" w:rsidRDefault="008813CF" w:rsidP="008813CF">
      <w:pPr>
        <w:pStyle w:val="mpcbullets1"/>
        <w:pBdr>
          <w:top w:val="single" w:sz="4" w:space="1" w:color="auto"/>
          <w:left w:val="single" w:sz="4" w:space="4" w:color="auto"/>
          <w:bottom w:val="single" w:sz="4" w:space="1" w:color="auto"/>
          <w:right w:val="single" w:sz="4" w:space="4" w:color="auto"/>
        </w:pBdr>
        <w:shd w:val="clear" w:color="auto" w:fill="F2F2F2" w:themeFill="background1" w:themeFillShade="F2"/>
        <w:contextualSpacing/>
      </w:pPr>
      <w:r w:rsidRPr="00A26CA7">
        <w:t>20% selected Option 1, ‘Require providers to be satisfied that PCWs have the necessary English proficiency to effectively perform their role (extension of the status quo with improved guidance as to the expected thresholds for proficiency)’</w:t>
      </w:r>
    </w:p>
    <w:p w14:paraId="1E6746EA" w14:textId="4470AC5A" w:rsidR="0000445C" w:rsidRPr="00A26CA7" w:rsidRDefault="0000445C" w:rsidP="007C36E4">
      <w:pPr>
        <w:pStyle w:val="mpcbullets1"/>
        <w:pBdr>
          <w:top w:val="single" w:sz="4" w:space="1" w:color="auto"/>
          <w:left w:val="single" w:sz="4" w:space="4" w:color="auto"/>
          <w:bottom w:val="single" w:sz="4" w:space="1" w:color="auto"/>
          <w:right w:val="single" w:sz="4" w:space="4" w:color="auto"/>
        </w:pBdr>
        <w:shd w:val="clear" w:color="auto" w:fill="F2F2F2" w:themeFill="background1" w:themeFillShade="F2"/>
        <w:contextualSpacing/>
      </w:pPr>
      <w:r w:rsidRPr="00A26CA7">
        <w:t>66% selected Option 2, ‘Establish a requirement for PCWs to demonstrate their proficiency in English as part of a registration process (consistent with the National Scheme)’ as their preferred approach to English proficiency</w:t>
      </w:r>
    </w:p>
    <w:p w14:paraId="6E8000BC" w14:textId="77777777" w:rsidR="0000445C" w:rsidRPr="00A26CA7" w:rsidRDefault="0000445C" w:rsidP="007C36E4">
      <w:pPr>
        <w:pStyle w:val="mpcbullets1"/>
        <w:pBdr>
          <w:top w:val="single" w:sz="4" w:space="1" w:color="auto"/>
          <w:left w:val="single" w:sz="4" w:space="4" w:color="auto"/>
          <w:bottom w:val="single" w:sz="4" w:space="1" w:color="auto"/>
          <w:right w:val="single" w:sz="4" w:space="4" w:color="auto"/>
        </w:pBdr>
        <w:shd w:val="clear" w:color="auto" w:fill="F2F2F2" w:themeFill="background1" w:themeFillShade="F2"/>
        <w:contextualSpacing/>
      </w:pPr>
      <w:r w:rsidRPr="00A26CA7">
        <w:t>14% did not answer.</w:t>
      </w:r>
    </w:p>
    <w:p w14:paraId="3FA931BF" w14:textId="77777777" w:rsidR="0000445C" w:rsidRPr="00A26CA7" w:rsidRDefault="0000445C" w:rsidP="007C36E4">
      <w:pPr>
        <w:rPr>
          <w:rFonts w:cstheme="minorHAnsi"/>
        </w:rPr>
      </w:pPr>
    </w:p>
    <w:p w14:paraId="58E63331" w14:textId="34FC7D11" w:rsidR="0000445C" w:rsidRPr="00A26CA7" w:rsidRDefault="00AA2420" w:rsidP="007C36E4">
      <w:pPr>
        <w:pStyle w:val="mpcbullets1"/>
        <w:numPr>
          <w:ilvl w:val="0"/>
          <w:numId w:val="0"/>
        </w:numPr>
      </w:pPr>
      <w:r>
        <w:t>Many s</w:t>
      </w:r>
      <w:r w:rsidR="0000445C" w:rsidRPr="00A26CA7">
        <w:t xml:space="preserve">takeholders </w:t>
      </w:r>
      <w:r>
        <w:t>considered t</w:t>
      </w:r>
      <w:r w:rsidR="0000445C" w:rsidRPr="00A26CA7">
        <w:t>hat the current mechanisms for establishing English proficiency are insufficient as there is no minimum standard</w:t>
      </w:r>
      <w:r w:rsidR="0000445C">
        <w:t xml:space="preserve"> or </w:t>
      </w:r>
      <w:r w:rsidR="0000445C" w:rsidRPr="00A26CA7">
        <w:t>clear expectation that can be applied consistently across aged care providers</w:t>
      </w:r>
      <w:r w:rsidR="0000445C">
        <w:t xml:space="preserve"> in relation to their workers</w:t>
      </w:r>
      <w:r w:rsidR="0000445C" w:rsidRPr="00A26CA7">
        <w:t xml:space="preserve">. </w:t>
      </w:r>
      <w:r w:rsidR="00F03906">
        <w:t xml:space="preserve">It was also </w:t>
      </w:r>
      <w:r>
        <w:t xml:space="preserve">generally </w:t>
      </w:r>
      <w:r w:rsidR="00F03906">
        <w:t>agreed that English proficiency is</w:t>
      </w:r>
      <w:r w:rsidR="007F3D91">
        <w:t xml:space="preserve"> relevant to aged care workers, not just PCWs, but that it </w:t>
      </w:r>
      <w:r w:rsidR="00F03906">
        <w:t>is</w:t>
      </w:r>
      <w:r w:rsidR="007F3D91">
        <w:t xml:space="preserve"> particularly critical for PCWs to have sufficient English proficiency skills to communicate with consumers and to accurately engage in and record conversations about care. </w:t>
      </w:r>
    </w:p>
    <w:p w14:paraId="1246D198" w14:textId="77777777" w:rsidR="0000445C" w:rsidRPr="00A26CA7" w:rsidRDefault="0000445C" w:rsidP="007C36E4">
      <w:pPr>
        <w:pStyle w:val="mpcbullets1"/>
        <w:numPr>
          <w:ilvl w:val="0"/>
          <w:numId w:val="0"/>
        </w:numPr>
      </w:pPr>
    </w:p>
    <w:p w14:paraId="41E3722F" w14:textId="0552B05D" w:rsidR="0000445C" w:rsidRPr="00A26CA7" w:rsidRDefault="0000445C" w:rsidP="007C36E4">
      <w:pPr>
        <w:rPr>
          <w:rFonts w:cstheme="minorHAnsi"/>
        </w:rPr>
      </w:pPr>
      <w:r w:rsidRPr="00A26CA7">
        <w:rPr>
          <w:rFonts w:cstheme="minorHAnsi"/>
        </w:rPr>
        <w:t xml:space="preserve">Stakeholders who supported Option 1 </w:t>
      </w:r>
      <w:r w:rsidR="00AA2420" w:rsidRPr="00A26CA7">
        <w:t>(extension of the status quo with improved guidance as to the expected thresholds for proficiency)</w:t>
      </w:r>
      <w:r w:rsidR="00AA2420">
        <w:t xml:space="preserve"> </w:t>
      </w:r>
      <w:r w:rsidRPr="00A26CA7">
        <w:rPr>
          <w:rFonts w:cstheme="minorHAnsi"/>
        </w:rPr>
        <w:t xml:space="preserve">noted: </w:t>
      </w:r>
    </w:p>
    <w:p w14:paraId="4DA0573B" w14:textId="77777777" w:rsidR="0000445C" w:rsidRPr="00A26CA7" w:rsidRDefault="0000445C" w:rsidP="007C36E4">
      <w:pPr>
        <w:rPr>
          <w:rFonts w:cstheme="minorHAnsi"/>
        </w:rPr>
      </w:pPr>
    </w:p>
    <w:p w14:paraId="208AE250" w14:textId="6C2F7FFE" w:rsidR="00892795" w:rsidRPr="00A26CA7" w:rsidRDefault="0000445C" w:rsidP="007C36E4">
      <w:pPr>
        <w:pStyle w:val="mpcbullets1"/>
        <w:contextualSpacing/>
      </w:pPr>
      <w:r w:rsidRPr="00A26CA7">
        <w:t>the provider is best placed to determine the English language requirements for the different roles in their service, and that not all roles have an equivalent need for English proficiency</w:t>
      </w:r>
    </w:p>
    <w:p w14:paraId="538EA5BD" w14:textId="485E16EE" w:rsidR="00892795" w:rsidRDefault="0000445C" w:rsidP="007C36E4">
      <w:pPr>
        <w:pStyle w:val="mpcbullets1"/>
        <w:contextualSpacing/>
      </w:pPr>
      <w:r w:rsidRPr="00A26CA7">
        <w:t xml:space="preserve">English proficiency can be ascertained at interview, such that additional requirements/guidance </w:t>
      </w:r>
      <w:r w:rsidR="00A14063">
        <w:t>are</w:t>
      </w:r>
      <w:r w:rsidR="00A14063" w:rsidRPr="00A26CA7">
        <w:t xml:space="preserve"> </w:t>
      </w:r>
      <w:r w:rsidRPr="00A26CA7">
        <w:t>not required</w:t>
      </w:r>
    </w:p>
    <w:p w14:paraId="1F52FC4C" w14:textId="59CE2F3E" w:rsidR="00892795" w:rsidRDefault="0000445C" w:rsidP="007C36E4">
      <w:pPr>
        <w:pStyle w:val="mpcbullets1"/>
        <w:contextualSpacing/>
      </w:pPr>
      <w:r w:rsidRPr="00A26CA7">
        <w:t>limited English proficiency should not act as a barrier to entering the workforce, particularly where workers have the other requisite skills and characteristics</w:t>
      </w:r>
    </w:p>
    <w:p w14:paraId="6A878575" w14:textId="472478A0" w:rsidR="00892795" w:rsidRDefault="0000445C" w:rsidP="007C36E4">
      <w:pPr>
        <w:pStyle w:val="mpcbullets1"/>
        <w:contextualSpacing/>
      </w:pPr>
      <w:r w:rsidRPr="00A26CA7">
        <w:t>culturally and linguistically diverse consumers might benefit more from engaging with multilingual care workers with proficiency in the consumer’s native language and this should be celebrated (not undervalued)</w:t>
      </w:r>
    </w:p>
    <w:p w14:paraId="68C2F50A" w14:textId="53CBFBA9" w:rsidR="00892795" w:rsidRDefault="0000445C" w:rsidP="007C36E4">
      <w:pPr>
        <w:pStyle w:val="mpcbullets1"/>
        <w:contextualSpacing/>
      </w:pPr>
      <w:r w:rsidRPr="00A26CA7">
        <w:t>in some contexts, such as in Aboriginal communities, fluency in the local language may be more</w:t>
      </w:r>
      <w:r w:rsidR="00D44E9A">
        <w:t xml:space="preserve"> </w:t>
      </w:r>
      <w:r w:rsidRPr="00A26CA7">
        <w:t>important than proficiency in English</w:t>
      </w:r>
    </w:p>
    <w:p w14:paraId="562A2E3E" w14:textId="6C17D13D" w:rsidR="0000445C" w:rsidRPr="00A26CA7" w:rsidRDefault="0000445C" w:rsidP="007C36E4">
      <w:pPr>
        <w:pStyle w:val="mpcbullets1"/>
        <w:contextualSpacing/>
      </w:pPr>
      <w:r w:rsidRPr="00A26CA7">
        <w:t>setting minimum requirements for English proficiency may discourage culturally and linguistically diverse workers from entering the sector.</w:t>
      </w:r>
    </w:p>
    <w:p w14:paraId="2B3CD711" w14:textId="77777777" w:rsidR="0000445C" w:rsidRPr="00A26CA7" w:rsidRDefault="0000445C" w:rsidP="007C36E4">
      <w:pPr>
        <w:pStyle w:val="mpcbullets1"/>
        <w:numPr>
          <w:ilvl w:val="0"/>
          <w:numId w:val="0"/>
        </w:numPr>
      </w:pPr>
    </w:p>
    <w:p w14:paraId="70705977" w14:textId="3E604471" w:rsidR="004378F3" w:rsidRDefault="0000445C" w:rsidP="007C36E4">
      <w:pPr>
        <w:pStyle w:val="mpcbullets1"/>
        <w:numPr>
          <w:ilvl w:val="0"/>
          <w:numId w:val="0"/>
        </w:numPr>
      </w:pPr>
      <w:r w:rsidRPr="00A26CA7">
        <w:t>Stakeholders suggested that if minimum qualification</w:t>
      </w:r>
      <w:r>
        <w:t xml:space="preserve"> and </w:t>
      </w:r>
      <w:r w:rsidRPr="00A26CA7">
        <w:t>competency requirements are introduced (</w:t>
      </w:r>
      <w:r w:rsidR="00152714">
        <w:t>e.g.</w:t>
      </w:r>
      <w:r w:rsidRPr="00A26CA7">
        <w:t xml:space="preserve"> that all PCWs </w:t>
      </w:r>
      <w:r>
        <w:t xml:space="preserve">must </w:t>
      </w:r>
      <w:r w:rsidRPr="00A26CA7">
        <w:t>have a Certificate III</w:t>
      </w:r>
      <w:r w:rsidR="00AF1345">
        <w:t xml:space="preserve"> in Individual Support</w:t>
      </w:r>
      <w:r w:rsidR="00AD689E">
        <w:t xml:space="preserve"> (Certificate III)</w:t>
      </w:r>
      <w:r w:rsidRPr="00A26CA7">
        <w:t>) this should ensure workers have adequate English proficiency</w:t>
      </w:r>
      <w:r>
        <w:t xml:space="preserve">, </w:t>
      </w:r>
      <w:r w:rsidR="00AC03BC">
        <w:t>a</w:t>
      </w:r>
      <w:r w:rsidRPr="00A26CA7">
        <w:t xml:space="preserve">s </w:t>
      </w:r>
      <w:r w:rsidR="004A2EAB">
        <w:t>English language proficiency is an</w:t>
      </w:r>
      <w:r w:rsidR="004378F3">
        <w:t xml:space="preserve"> entry requirement to the course </w:t>
      </w:r>
      <w:r w:rsidR="004A2EAB">
        <w:t xml:space="preserve">and </w:t>
      </w:r>
      <w:r w:rsidR="004378F3">
        <w:t xml:space="preserve">otherwise </w:t>
      </w:r>
      <w:r w:rsidRPr="00A26CA7">
        <w:t>required to successfully complete the training.</w:t>
      </w:r>
      <w:r>
        <w:t xml:space="preserve"> </w:t>
      </w:r>
    </w:p>
    <w:p w14:paraId="27D16D8E" w14:textId="77777777" w:rsidR="004378F3" w:rsidRDefault="004378F3" w:rsidP="007C36E4">
      <w:pPr>
        <w:pStyle w:val="mpcbullets1"/>
        <w:numPr>
          <w:ilvl w:val="0"/>
          <w:numId w:val="0"/>
        </w:numPr>
      </w:pPr>
    </w:p>
    <w:p w14:paraId="0994AC37" w14:textId="16724E7C" w:rsidR="00AF1345" w:rsidRDefault="00AF1345" w:rsidP="007C36E4">
      <w:pPr>
        <w:pStyle w:val="mpcbullets1"/>
        <w:numPr>
          <w:ilvl w:val="0"/>
          <w:numId w:val="0"/>
        </w:numPr>
        <w:rPr>
          <w:color w:val="FF0000"/>
        </w:rPr>
      </w:pPr>
      <w:r>
        <w:t xml:space="preserve">Many stakeholders noted the important role that training organisations </w:t>
      </w:r>
      <w:r w:rsidR="00F03906">
        <w:t>that</w:t>
      </w:r>
      <w:r>
        <w:t xml:space="preserve"> deliver qualifications play in ensuring English proficiency is satisfactory</w:t>
      </w:r>
      <w:r w:rsidR="004378F3">
        <w:t xml:space="preserve">. Stakeholders flagged </w:t>
      </w:r>
      <w:r>
        <w:t xml:space="preserve">that current reviews of the aged care training packages and qualifications </w:t>
      </w:r>
      <w:r w:rsidR="004378F3">
        <w:t xml:space="preserve">may lead to improved standards for English language skills </w:t>
      </w:r>
      <w:r w:rsidR="009D15AC">
        <w:t xml:space="preserve">for </w:t>
      </w:r>
      <w:r w:rsidR="004378F3">
        <w:t xml:space="preserve">future workers as a consequence of checking English proficiency as an entry requirement (with any necessary bridging courses to support the development of satisfactory English language) and potentially as part of the units of competency required in the qualification. It may be that these </w:t>
      </w:r>
      <w:r w:rsidR="004378F3">
        <w:lastRenderedPageBreak/>
        <w:t xml:space="preserve">reviews improve English language at the training level to meet the current gap such that registration standards are not required, and that future workers’ English language skills are more developed prior to employment. </w:t>
      </w:r>
    </w:p>
    <w:p w14:paraId="7E1B75B3" w14:textId="77777777" w:rsidR="0000445C" w:rsidRPr="00A26CA7" w:rsidRDefault="0000445C" w:rsidP="007C36E4">
      <w:pPr>
        <w:pStyle w:val="mpcbullets1"/>
        <w:numPr>
          <w:ilvl w:val="0"/>
          <w:numId w:val="0"/>
        </w:numPr>
        <w:rPr>
          <w:rFonts w:cstheme="minorHAnsi"/>
        </w:rPr>
      </w:pPr>
    </w:p>
    <w:p w14:paraId="7E7F5E7E" w14:textId="77777777" w:rsidR="0000445C" w:rsidRPr="00A26CA7" w:rsidRDefault="0000445C" w:rsidP="007C36E4">
      <w:pPr>
        <w:rPr>
          <w:rFonts w:cstheme="minorHAnsi"/>
        </w:rPr>
      </w:pPr>
      <w:r w:rsidRPr="00A26CA7">
        <w:rPr>
          <w:rFonts w:cstheme="minorHAnsi"/>
        </w:rPr>
        <w:t>Stakeholders who supported Option 2 suggested</w:t>
      </w:r>
      <w:r>
        <w:rPr>
          <w:rFonts w:cstheme="minorHAnsi"/>
        </w:rPr>
        <w:t xml:space="preserve"> that</w:t>
      </w:r>
      <w:r w:rsidRPr="00A26CA7">
        <w:rPr>
          <w:rFonts w:cstheme="minorHAnsi"/>
        </w:rPr>
        <w:t>:</w:t>
      </w:r>
    </w:p>
    <w:p w14:paraId="7758FB62" w14:textId="77777777" w:rsidR="0000445C" w:rsidRPr="00A26CA7" w:rsidRDefault="0000445C" w:rsidP="007C36E4">
      <w:pPr>
        <w:rPr>
          <w:rFonts w:cstheme="minorHAnsi"/>
        </w:rPr>
      </w:pPr>
    </w:p>
    <w:p w14:paraId="2BB0E94C" w14:textId="0AAE666B" w:rsidR="0000445C" w:rsidRPr="00A26CA7" w:rsidRDefault="0000445C" w:rsidP="007C36E4">
      <w:pPr>
        <w:pStyle w:val="mpcbullets1"/>
        <w:contextualSpacing/>
      </w:pPr>
      <w:r w:rsidRPr="00A26CA7">
        <w:t xml:space="preserve">where workers are unable to communicate effectively, this puts the consumer at a disadvantage and </w:t>
      </w:r>
      <w:r>
        <w:t xml:space="preserve">can </w:t>
      </w:r>
      <w:r w:rsidRPr="00A26CA7">
        <w:t xml:space="preserve">compromise the safety and quality of care delivered, particularly where consumers experience other communication challenges related to their age </w:t>
      </w:r>
      <w:r w:rsidR="00AC03BC">
        <w:t>and/</w:t>
      </w:r>
      <w:r w:rsidRPr="00A26CA7">
        <w:t xml:space="preserve">or where PCWs are delivering clinical care </w:t>
      </w:r>
      <w:r w:rsidR="00236569">
        <w:t xml:space="preserve">under delegation </w:t>
      </w:r>
      <w:r w:rsidRPr="00A26CA7">
        <w:t>(including administering medications)</w:t>
      </w:r>
    </w:p>
    <w:p w14:paraId="3CF2C47A" w14:textId="77777777" w:rsidR="0000445C" w:rsidRPr="00A26CA7" w:rsidRDefault="0000445C" w:rsidP="007C36E4">
      <w:pPr>
        <w:pStyle w:val="mpcbullets1"/>
        <w:contextualSpacing/>
      </w:pPr>
      <w:r w:rsidRPr="00A26CA7">
        <w:t>while English proficiency is not always a barrier for face-to-face communication, it is necessary for reading and understanding internal policies and procedures and consumer care documentation and case notes.</w:t>
      </w:r>
    </w:p>
    <w:p w14:paraId="48685B2E" w14:textId="77777777" w:rsidR="0000445C" w:rsidRPr="00A26CA7" w:rsidRDefault="0000445C" w:rsidP="007C36E4">
      <w:pPr>
        <w:pStyle w:val="mpcbullets1"/>
        <w:numPr>
          <w:ilvl w:val="0"/>
          <w:numId w:val="0"/>
        </w:numPr>
      </w:pPr>
    </w:p>
    <w:p w14:paraId="667ECBE6" w14:textId="77777777" w:rsidR="0000445C" w:rsidRPr="00A26CA7" w:rsidRDefault="0000445C" w:rsidP="007C36E4">
      <w:pPr>
        <w:pStyle w:val="mpcbullets1"/>
        <w:numPr>
          <w:ilvl w:val="0"/>
          <w:numId w:val="0"/>
        </w:numPr>
      </w:pPr>
      <w:r w:rsidRPr="00A26CA7">
        <w:t>Stakeholders</w:t>
      </w:r>
      <w:r>
        <w:t xml:space="preserve"> variously</w:t>
      </w:r>
      <w:r w:rsidRPr="00A26CA7">
        <w:t xml:space="preserve"> raised the following considerations in relation to the implementation of Option 2:</w:t>
      </w:r>
    </w:p>
    <w:p w14:paraId="29612EBE" w14:textId="77777777" w:rsidR="0000445C" w:rsidRPr="00A26CA7" w:rsidRDefault="0000445C" w:rsidP="007C36E4">
      <w:pPr>
        <w:pStyle w:val="mpcbullets1"/>
        <w:numPr>
          <w:ilvl w:val="0"/>
          <w:numId w:val="0"/>
        </w:numPr>
      </w:pPr>
    </w:p>
    <w:p w14:paraId="29CDF800" w14:textId="4C312201" w:rsidR="00892795" w:rsidRDefault="0000445C" w:rsidP="007C36E4">
      <w:pPr>
        <w:pStyle w:val="mpcbullets1"/>
        <w:contextualSpacing/>
      </w:pPr>
      <w:r w:rsidRPr="00A26CA7">
        <w:t xml:space="preserve">an appropriate ‘English for aged care’ standard measure </w:t>
      </w:r>
      <w:r w:rsidR="00AA2420">
        <w:t>should</w:t>
      </w:r>
      <w:r w:rsidRPr="00A26CA7">
        <w:t xml:space="preserve"> be developed, supported by specific training (developed and delivered by ESL specialists in partnership with the aged care sector) to help workers meet this standard</w:t>
      </w:r>
    </w:p>
    <w:p w14:paraId="25E582E5" w14:textId="4AFED051" w:rsidR="0000445C" w:rsidRPr="00A26CA7" w:rsidRDefault="0000445C" w:rsidP="007C36E4">
      <w:pPr>
        <w:pStyle w:val="mpcbullets1"/>
        <w:contextualSpacing/>
      </w:pPr>
      <w:r w:rsidRPr="00A26CA7">
        <w:t>a minimum IELTS score</w:t>
      </w:r>
      <w:r w:rsidR="00AC03BC">
        <w:rPr>
          <w:rStyle w:val="FootnoteReference"/>
        </w:rPr>
        <w:footnoteReference w:id="27"/>
      </w:r>
      <w:r w:rsidRPr="00A26CA7">
        <w:t xml:space="preserve"> of 6 be required to become an aged care worker</w:t>
      </w:r>
    </w:p>
    <w:p w14:paraId="70DB57B1" w14:textId="77777777" w:rsidR="0000445C" w:rsidRPr="00A26CA7" w:rsidRDefault="0000445C" w:rsidP="007C36E4">
      <w:pPr>
        <w:pStyle w:val="mpcbullets1"/>
        <w:contextualSpacing/>
      </w:pPr>
      <w:r w:rsidRPr="00A26CA7">
        <w:t>flexibility must be applied in how workers demonstrate their proficiency in English (and government should not mandate a specific IELTS score)</w:t>
      </w:r>
    </w:p>
    <w:p w14:paraId="29C00C9A" w14:textId="77777777" w:rsidR="0000445C" w:rsidRPr="00A26CA7" w:rsidRDefault="0000445C" w:rsidP="007C36E4">
      <w:pPr>
        <w:pStyle w:val="mpcbullets1"/>
        <w:contextualSpacing/>
      </w:pPr>
      <w:r w:rsidRPr="00A26CA7">
        <w:t>English proficiency requirements should include consideration of workplace context (including specific aged care/medical terminology) and Australian cultural practices and idioms</w:t>
      </w:r>
    </w:p>
    <w:p w14:paraId="47B0279E" w14:textId="77777777" w:rsidR="0000445C" w:rsidRPr="00A26CA7" w:rsidRDefault="0000445C" w:rsidP="007C36E4">
      <w:pPr>
        <w:pStyle w:val="mpcbullets1"/>
        <w:contextualSpacing/>
      </w:pPr>
      <w:r w:rsidRPr="00A26CA7">
        <w:t>emphasis be placed on the ability to communicate with colleagues and consumers, rather than reading and writing in English.</w:t>
      </w:r>
    </w:p>
    <w:p w14:paraId="4BECB0AA" w14:textId="77777777" w:rsidR="0000445C" w:rsidRPr="00A26CA7" w:rsidRDefault="0000445C" w:rsidP="007C36E4">
      <w:pPr>
        <w:pStyle w:val="mpcbullets1"/>
        <w:numPr>
          <w:ilvl w:val="0"/>
          <w:numId w:val="0"/>
        </w:numPr>
      </w:pPr>
    </w:p>
    <w:p w14:paraId="5242428C" w14:textId="77777777" w:rsidR="0000445C" w:rsidRDefault="0000445C" w:rsidP="007C36E4">
      <w:pPr>
        <w:pStyle w:val="mpcNormal"/>
        <w:spacing w:after="0"/>
      </w:pPr>
      <w:r w:rsidRPr="00A26CA7">
        <w:t>Other options to strengthen the English proficiency of PCWs in delivering aged care included:</w:t>
      </w:r>
    </w:p>
    <w:p w14:paraId="52FFD810" w14:textId="77777777" w:rsidR="0000445C" w:rsidRPr="00A26CA7" w:rsidRDefault="0000445C" w:rsidP="007C36E4">
      <w:pPr>
        <w:pStyle w:val="mpcNormal"/>
        <w:spacing w:after="0"/>
      </w:pPr>
    </w:p>
    <w:p w14:paraId="3C10CA89" w14:textId="77777777" w:rsidR="0000445C" w:rsidRPr="00A26CA7" w:rsidRDefault="0000445C" w:rsidP="007C36E4">
      <w:pPr>
        <w:pStyle w:val="mpcbullets1"/>
        <w:contextualSpacing/>
      </w:pPr>
      <w:r w:rsidRPr="00A26CA7">
        <w:t>the recommendations from ‘</w:t>
      </w:r>
      <w:r w:rsidRPr="00A26CA7">
        <w:rPr>
          <w:i/>
          <w:iCs/>
        </w:rPr>
        <w:t>A Matter of Care: Australia’s Aged Care Workforce Strategy’</w:t>
      </w:r>
      <w:r w:rsidRPr="00A26CA7">
        <w:t xml:space="preserve"> be further explored, including the development of a qualifications framework that reflects the future state of the aged care workforce; and the introduction of job levels for PCWs based on skills and experience (whereby English proficiency is recognised as a skill)</w:t>
      </w:r>
    </w:p>
    <w:p w14:paraId="6B36B2BF" w14:textId="77777777" w:rsidR="0000445C" w:rsidRPr="00A26CA7" w:rsidRDefault="0000445C" w:rsidP="007C36E4">
      <w:pPr>
        <w:pStyle w:val="mpcbullets1"/>
        <w:contextualSpacing/>
      </w:pPr>
      <w:r w:rsidRPr="00A26CA7">
        <w:t>the government should subsidise targeted English language programs for aged care workers</w:t>
      </w:r>
    </w:p>
    <w:p w14:paraId="2C744672" w14:textId="77777777" w:rsidR="0000445C" w:rsidRPr="00A26CA7" w:rsidRDefault="0000445C" w:rsidP="007C36E4">
      <w:pPr>
        <w:pStyle w:val="mpcbullets1"/>
        <w:contextualSpacing/>
      </w:pPr>
      <w:r w:rsidRPr="00A26CA7">
        <w:t>English language classes could be built into professional development plans for aged care workers that require them.</w:t>
      </w:r>
    </w:p>
    <w:p w14:paraId="03BF3D0A" w14:textId="77777777" w:rsidR="0000445C" w:rsidRPr="00A26CA7" w:rsidRDefault="0000445C" w:rsidP="007C36E4">
      <w:pPr>
        <w:rPr>
          <w:rFonts w:cstheme="minorHAnsi"/>
        </w:rPr>
      </w:pPr>
    </w:p>
    <w:p w14:paraId="5A954FE5" w14:textId="5F9BC972" w:rsidR="0000445C" w:rsidRPr="00A26CA7" w:rsidRDefault="0000445C" w:rsidP="007C36E4">
      <w:pPr>
        <w:pStyle w:val="mpcbullets1"/>
        <w:numPr>
          <w:ilvl w:val="0"/>
          <w:numId w:val="0"/>
        </w:numPr>
      </w:pPr>
      <w:r w:rsidRPr="00A26CA7">
        <w:t>Stakeholders</w:t>
      </w:r>
      <w:r>
        <w:t xml:space="preserve"> also</w:t>
      </w:r>
      <w:r w:rsidRPr="00A26CA7">
        <w:t xml:space="preserve"> noted the need for aged care providers to ensure there are mechanisms for communicating with consumers with diverse communication requirements beyond ensuring workers have proficiency in English, including through different languages, display of text, Braille, tactile communication, large print, accessible multimedia, audio, plain-language, human-reader and augmentative and alternative modes, accessible information and communication technolog</w:t>
      </w:r>
      <w:r w:rsidR="00055C02">
        <w:t>ies</w:t>
      </w:r>
      <w:r w:rsidRPr="00A26CA7">
        <w:t>.</w:t>
      </w:r>
    </w:p>
    <w:p w14:paraId="3455F9E2" w14:textId="1607D00E" w:rsidR="00984F11" w:rsidRDefault="00984F11" w:rsidP="007C36E4">
      <w:pPr>
        <w:pStyle w:val="mpcbullets1"/>
        <w:numPr>
          <w:ilvl w:val="0"/>
          <w:numId w:val="0"/>
        </w:numPr>
        <w:rPr>
          <w:lang w:eastAsia="en-GB"/>
        </w:rPr>
      </w:pPr>
      <w:r>
        <w:rPr>
          <w:lang w:eastAsia="en-GB"/>
        </w:rPr>
        <w:br w:type="page"/>
      </w:r>
    </w:p>
    <w:p w14:paraId="44C577C3" w14:textId="77777777" w:rsidR="00FC7FAB" w:rsidRPr="00A26CA7" w:rsidRDefault="00FC7FAB" w:rsidP="007C36E4">
      <w:pPr>
        <w:pStyle w:val="mpcbullets1"/>
        <w:numPr>
          <w:ilvl w:val="0"/>
          <w:numId w:val="0"/>
        </w:numPr>
        <w:rPr>
          <w:lang w:eastAsia="en-GB"/>
        </w:rPr>
      </w:pPr>
    </w:p>
    <w:p w14:paraId="61602885" w14:textId="77777777" w:rsidR="00FC7FAB" w:rsidRPr="004000CD" w:rsidRDefault="00FC7FAB" w:rsidP="007C36E4">
      <w:pPr>
        <w:pStyle w:val="mpcheading2"/>
        <w:spacing w:after="0"/>
      </w:pPr>
      <w:bookmarkStart w:id="63" w:name="_Toc45791048"/>
      <w:bookmarkStart w:id="64" w:name="_Toc45868450"/>
      <w:bookmarkStart w:id="65" w:name="_Toc49253255"/>
      <w:r>
        <w:t>Minimum q</w:t>
      </w:r>
      <w:r w:rsidRPr="00283FD1">
        <w:t>ual</w:t>
      </w:r>
      <w:r>
        <w:t>ifications and competencies</w:t>
      </w:r>
      <w:bookmarkEnd w:id="63"/>
      <w:bookmarkEnd w:id="64"/>
      <w:bookmarkEnd w:id="65"/>
      <w:r>
        <w:t xml:space="preserve"> </w:t>
      </w:r>
    </w:p>
    <w:p w14:paraId="40FF52DA" w14:textId="77777777" w:rsidR="00FC7FAB" w:rsidRPr="00A26CA7" w:rsidRDefault="00FC7FAB" w:rsidP="007C36E4">
      <w:pPr>
        <w:rPr>
          <w:rFonts w:cstheme="minorHAnsi"/>
        </w:rPr>
      </w:pPr>
    </w:p>
    <w:p w14:paraId="1E1A5B8D" w14:textId="77777777" w:rsidR="00FC7FAB" w:rsidRPr="00A26CA7" w:rsidRDefault="00FC7FAB" w:rsidP="007C36E4">
      <w:pPr>
        <w:pBdr>
          <w:top w:val="single" w:sz="4" w:space="1" w:color="auto"/>
          <w:left w:val="single" w:sz="4" w:space="4" w:color="auto"/>
          <w:bottom w:val="single" w:sz="4" w:space="1" w:color="auto"/>
          <w:right w:val="single" w:sz="4" w:space="4" w:color="auto"/>
        </w:pBdr>
        <w:shd w:val="clear" w:color="auto" w:fill="F2F2F2" w:themeFill="background1" w:themeFillShade="F2"/>
        <w:rPr>
          <w:rFonts w:cstheme="minorHAnsi"/>
        </w:rPr>
      </w:pPr>
      <w:r w:rsidRPr="00A26CA7">
        <w:rPr>
          <w:rFonts w:cstheme="minorHAnsi"/>
        </w:rPr>
        <w:t>Of the stakeholders responding to online consultation:</w:t>
      </w:r>
    </w:p>
    <w:p w14:paraId="7436E857" w14:textId="77777777" w:rsidR="00FC7FAB" w:rsidRPr="00A26CA7" w:rsidRDefault="00FC7FAB" w:rsidP="007C36E4">
      <w:pPr>
        <w:pBdr>
          <w:top w:val="single" w:sz="4" w:space="1" w:color="auto"/>
          <w:left w:val="single" w:sz="4" w:space="4" w:color="auto"/>
          <w:bottom w:val="single" w:sz="4" w:space="1" w:color="auto"/>
          <w:right w:val="single" w:sz="4" w:space="4" w:color="auto"/>
        </w:pBdr>
        <w:shd w:val="clear" w:color="auto" w:fill="F2F2F2" w:themeFill="background1" w:themeFillShade="F2"/>
        <w:rPr>
          <w:rFonts w:cstheme="minorHAnsi"/>
        </w:rPr>
      </w:pPr>
    </w:p>
    <w:p w14:paraId="613566F9" w14:textId="77777777" w:rsidR="007741ED" w:rsidRPr="00A26CA7" w:rsidRDefault="007741ED" w:rsidP="007741ED">
      <w:pPr>
        <w:pStyle w:val="mpcbullets1"/>
        <w:pBdr>
          <w:top w:val="single" w:sz="4" w:space="1" w:color="auto"/>
          <w:left w:val="single" w:sz="4" w:space="4" w:color="auto"/>
          <w:bottom w:val="single" w:sz="4" w:space="1" w:color="auto"/>
          <w:right w:val="single" w:sz="4" w:space="4" w:color="auto"/>
        </w:pBdr>
        <w:shd w:val="clear" w:color="auto" w:fill="F2F2F2" w:themeFill="background1" w:themeFillShade="F2"/>
        <w:contextualSpacing/>
      </w:pPr>
      <w:r w:rsidRPr="00A26CA7">
        <w:t>10% selected Option 1, ‘Providers must ensure that PCWs are competent and have the qualifications and knowledge to effectively perform their role (status quo)’</w:t>
      </w:r>
    </w:p>
    <w:p w14:paraId="752D2D72" w14:textId="004ADC5E" w:rsidR="007741ED" w:rsidRDefault="007741ED" w:rsidP="007741ED">
      <w:pPr>
        <w:pStyle w:val="mpcbullets1"/>
        <w:pBdr>
          <w:top w:val="single" w:sz="4" w:space="1" w:color="auto"/>
          <w:left w:val="single" w:sz="4" w:space="4" w:color="auto"/>
          <w:bottom w:val="single" w:sz="4" w:space="1" w:color="auto"/>
          <w:right w:val="single" w:sz="4" w:space="4" w:color="auto"/>
        </w:pBdr>
        <w:shd w:val="clear" w:color="auto" w:fill="F2F2F2" w:themeFill="background1" w:themeFillShade="F2"/>
        <w:contextualSpacing/>
      </w:pPr>
      <w:r w:rsidRPr="00A26CA7">
        <w:t>9% selected Option 2, ‘Require providers to be satisfied that PCWs have certain minimum qualifications or competencies’</w:t>
      </w:r>
    </w:p>
    <w:p w14:paraId="797C53AE" w14:textId="2F5F46D5" w:rsidR="00FC7FAB" w:rsidRPr="00A26CA7" w:rsidRDefault="00FC7FAB" w:rsidP="007C36E4">
      <w:pPr>
        <w:pStyle w:val="mpcbullets1"/>
        <w:pBdr>
          <w:top w:val="single" w:sz="4" w:space="1" w:color="auto"/>
          <w:left w:val="single" w:sz="4" w:space="4" w:color="auto"/>
          <w:bottom w:val="single" w:sz="4" w:space="1" w:color="auto"/>
          <w:right w:val="single" w:sz="4" w:space="4" w:color="auto"/>
        </w:pBdr>
        <w:shd w:val="clear" w:color="auto" w:fill="F2F2F2" w:themeFill="background1" w:themeFillShade="F2"/>
        <w:contextualSpacing/>
      </w:pPr>
      <w:r w:rsidRPr="00A26CA7">
        <w:t>67% selected Option 3, ‘Establish a requirement for PCWs to demonstrate their qualifications as part of a registration process (consistent with the National Scheme)’ as their preferred approach to minimum qualifications</w:t>
      </w:r>
    </w:p>
    <w:p w14:paraId="49984195" w14:textId="77777777" w:rsidR="00FC7FAB" w:rsidRPr="00A26CA7" w:rsidRDefault="00FC7FAB" w:rsidP="007C36E4">
      <w:pPr>
        <w:pStyle w:val="mpcbullets1"/>
        <w:pBdr>
          <w:top w:val="single" w:sz="4" w:space="1" w:color="auto"/>
          <w:left w:val="single" w:sz="4" w:space="4" w:color="auto"/>
          <w:bottom w:val="single" w:sz="4" w:space="1" w:color="auto"/>
          <w:right w:val="single" w:sz="4" w:space="4" w:color="auto"/>
        </w:pBdr>
        <w:shd w:val="clear" w:color="auto" w:fill="F2F2F2" w:themeFill="background1" w:themeFillShade="F2"/>
        <w:contextualSpacing/>
      </w:pPr>
      <w:r w:rsidRPr="00A26CA7">
        <w:t>13% did not answer.</w:t>
      </w:r>
    </w:p>
    <w:p w14:paraId="7118D3CF" w14:textId="77777777" w:rsidR="00FC7FAB" w:rsidRPr="00A26CA7" w:rsidRDefault="00FC7FAB" w:rsidP="007C36E4">
      <w:pPr>
        <w:rPr>
          <w:rFonts w:cstheme="minorHAnsi"/>
        </w:rPr>
      </w:pPr>
    </w:p>
    <w:p w14:paraId="60828E81" w14:textId="45B4B7B6" w:rsidR="00FC7FAB" w:rsidRPr="00A26CA7" w:rsidRDefault="00AA2420" w:rsidP="007C36E4">
      <w:pPr>
        <w:rPr>
          <w:rFonts w:cstheme="minorHAnsi"/>
        </w:rPr>
      </w:pPr>
      <w:r>
        <w:rPr>
          <w:rFonts w:cstheme="minorHAnsi"/>
        </w:rPr>
        <w:t>Many s</w:t>
      </w:r>
      <w:r w:rsidR="00FC7FAB" w:rsidRPr="00A26CA7">
        <w:rPr>
          <w:rFonts w:cstheme="minorHAnsi"/>
        </w:rPr>
        <w:t xml:space="preserve">takeholders who supported Option 1 </w:t>
      </w:r>
      <w:r>
        <w:rPr>
          <w:rFonts w:cstheme="minorHAnsi"/>
        </w:rPr>
        <w:t xml:space="preserve">(status quo) </w:t>
      </w:r>
      <w:r w:rsidR="00FC7FAB" w:rsidRPr="00A26CA7">
        <w:rPr>
          <w:rFonts w:cstheme="minorHAnsi"/>
        </w:rPr>
        <w:t>considered that placing additional requirements on aged care workers and providers would act as a barrier to recruiting staff, noting that:</w:t>
      </w:r>
    </w:p>
    <w:p w14:paraId="0BA1D0B2" w14:textId="77777777" w:rsidR="00FC7FAB" w:rsidRPr="00A26CA7" w:rsidRDefault="00FC7FAB" w:rsidP="007C36E4">
      <w:pPr>
        <w:pStyle w:val="mpcbullets1"/>
        <w:numPr>
          <w:ilvl w:val="0"/>
          <w:numId w:val="0"/>
        </w:numPr>
        <w:ind w:left="360" w:hanging="360"/>
        <w:rPr>
          <w:rFonts w:cstheme="minorHAnsi"/>
        </w:rPr>
      </w:pPr>
    </w:p>
    <w:p w14:paraId="59CFEA5E" w14:textId="260CE2DA" w:rsidR="00FC7FAB" w:rsidRPr="00A26CA7" w:rsidRDefault="00FC7FAB" w:rsidP="007C36E4">
      <w:pPr>
        <w:pStyle w:val="mpcbullets1"/>
        <w:contextualSpacing/>
        <w:rPr>
          <w:rFonts w:cstheme="minorHAnsi"/>
        </w:rPr>
      </w:pPr>
      <w:r w:rsidRPr="00A26CA7">
        <w:rPr>
          <w:rFonts w:cstheme="minorHAnsi"/>
        </w:rPr>
        <w:t>it can be costly and challenging for providers to recruit appropriately skilled staff without the added burden or disincentive of ensuring minimum qualifications are met</w:t>
      </w:r>
      <w:r w:rsidR="00AA2420">
        <w:rPr>
          <w:rFonts w:cstheme="minorHAnsi"/>
        </w:rPr>
        <w:t>. S</w:t>
      </w:r>
      <w:r w:rsidRPr="00A26CA7">
        <w:rPr>
          <w:rFonts w:cstheme="minorHAnsi"/>
        </w:rPr>
        <w:t xml:space="preserve">ome stakeholders noted that some workers may be attracted to aged care specifically because there are no minimum qualification requirements </w:t>
      </w:r>
    </w:p>
    <w:p w14:paraId="185F10B6" w14:textId="0E2E79AC" w:rsidR="00FC7FAB" w:rsidRPr="00A26CA7" w:rsidRDefault="00FC7FAB" w:rsidP="007C36E4">
      <w:pPr>
        <w:pStyle w:val="mpcbullets1"/>
        <w:contextualSpacing/>
        <w:rPr>
          <w:rFonts w:cstheme="minorHAnsi"/>
        </w:rPr>
      </w:pPr>
      <w:r w:rsidRPr="00A26CA7">
        <w:rPr>
          <w:rFonts w:cstheme="minorHAnsi"/>
        </w:rPr>
        <w:t>the introduction of minimum qualifications has the potential to discourag</w:t>
      </w:r>
      <w:r w:rsidR="00C458CF">
        <w:rPr>
          <w:rFonts w:cstheme="minorHAnsi"/>
        </w:rPr>
        <w:t>e</w:t>
      </w:r>
      <w:r w:rsidRPr="00A26CA7">
        <w:rPr>
          <w:rFonts w:cstheme="minorHAnsi"/>
        </w:rPr>
        <w:t xml:space="preserve"> potential workers with the required skills and attributes but without the ability to pay to complete a course</w:t>
      </w:r>
    </w:p>
    <w:p w14:paraId="1210D390" w14:textId="77777777" w:rsidR="00FC7FAB" w:rsidRPr="00A26CA7" w:rsidRDefault="00FC7FAB" w:rsidP="007C36E4">
      <w:pPr>
        <w:pStyle w:val="mpcbullets1"/>
        <w:contextualSpacing/>
        <w:rPr>
          <w:rFonts w:cstheme="minorHAnsi"/>
        </w:rPr>
      </w:pPr>
      <w:r w:rsidRPr="00A26CA7">
        <w:rPr>
          <w:rFonts w:cstheme="minorHAnsi"/>
        </w:rPr>
        <w:t>providers should be able to determine what training is needed for their staff based on the consumers and the staffing profile at the service</w:t>
      </w:r>
    </w:p>
    <w:p w14:paraId="2A90ECB1" w14:textId="77777777" w:rsidR="00FC7FAB" w:rsidRPr="00A26CA7" w:rsidRDefault="00FC7FAB" w:rsidP="007C36E4">
      <w:pPr>
        <w:pStyle w:val="mpcbullets1"/>
        <w:contextualSpacing/>
        <w:rPr>
          <w:rFonts w:cstheme="minorHAnsi"/>
        </w:rPr>
      </w:pPr>
      <w:r w:rsidRPr="00A26CA7">
        <w:rPr>
          <w:rFonts w:cstheme="minorHAnsi"/>
        </w:rPr>
        <w:t>formal qualifications cannot provide PCWs with the same level of competency as on the job training and experience</w:t>
      </w:r>
    </w:p>
    <w:p w14:paraId="14D510AE" w14:textId="77777777" w:rsidR="00FC7FAB" w:rsidRPr="00A26CA7" w:rsidRDefault="00FC7FAB" w:rsidP="007C36E4">
      <w:pPr>
        <w:pStyle w:val="mpcbullets1"/>
        <w:contextualSpacing/>
        <w:rPr>
          <w:rFonts w:cstheme="minorHAnsi"/>
        </w:rPr>
      </w:pPr>
      <w:r w:rsidRPr="00A26CA7">
        <w:rPr>
          <w:rFonts w:cstheme="minorHAnsi"/>
        </w:rPr>
        <w:t>the quality of the training itself needs to be lifted rather than placing additional requirements on workers (i.e. the requirement should be placed on RTOs to improve the quality and consistency of training provided).</w:t>
      </w:r>
    </w:p>
    <w:p w14:paraId="4CED9689" w14:textId="77777777" w:rsidR="00FC7FAB" w:rsidRPr="00A26CA7" w:rsidRDefault="00FC7FAB" w:rsidP="007C36E4">
      <w:pPr>
        <w:rPr>
          <w:rFonts w:cstheme="minorHAnsi"/>
        </w:rPr>
      </w:pPr>
    </w:p>
    <w:p w14:paraId="51B4EFDE" w14:textId="0FB9412D" w:rsidR="00FC7FAB" w:rsidRPr="00A26CA7" w:rsidRDefault="00AA2420" w:rsidP="007C36E4">
      <w:pPr>
        <w:pStyle w:val="mpcNormal"/>
        <w:spacing w:after="0"/>
      </w:pPr>
      <w:r>
        <w:t>Some s</w:t>
      </w:r>
      <w:r w:rsidR="00FC7FAB" w:rsidRPr="00A26CA7">
        <w:t xml:space="preserve">takeholders expressed concerns about the large variation in the qualifications, skills and experience of aged care workers and the </w:t>
      </w:r>
      <w:r w:rsidR="00AD689E">
        <w:t xml:space="preserve">perceived </w:t>
      </w:r>
      <w:r w:rsidR="00FC7FAB" w:rsidRPr="00A26CA7">
        <w:t xml:space="preserve">poor quality of training provided by approved providers (particularly in home care) and </w:t>
      </w:r>
      <w:r>
        <w:t xml:space="preserve">considered </w:t>
      </w:r>
      <w:r w:rsidR="00FC7FAB" w:rsidRPr="00A26CA7">
        <w:t>that minimum qualification requirements were needed to lift quality in the sector.</w:t>
      </w:r>
    </w:p>
    <w:p w14:paraId="2562F948" w14:textId="77777777" w:rsidR="00FC7FAB" w:rsidRPr="00A26CA7" w:rsidRDefault="00FC7FAB" w:rsidP="007C36E4">
      <w:pPr>
        <w:pStyle w:val="mpcNormal"/>
        <w:spacing w:after="0"/>
      </w:pPr>
    </w:p>
    <w:p w14:paraId="61020CA1" w14:textId="77777777" w:rsidR="00FC7FAB" w:rsidRPr="00A26CA7" w:rsidRDefault="00FC7FAB" w:rsidP="007C36E4">
      <w:pPr>
        <w:rPr>
          <w:rFonts w:cstheme="minorHAnsi"/>
        </w:rPr>
      </w:pPr>
      <w:r w:rsidRPr="00A26CA7">
        <w:rPr>
          <w:rFonts w:cstheme="minorHAnsi"/>
        </w:rPr>
        <w:t>Stakeholders who supported Options 2 and 3 variously noted that:</w:t>
      </w:r>
    </w:p>
    <w:p w14:paraId="26AB75A6" w14:textId="77777777" w:rsidR="00FC7FAB" w:rsidRPr="00A26CA7" w:rsidRDefault="00FC7FAB" w:rsidP="007C36E4">
      <w:pPr>
        <w:pStyle w:val="mpcbullets1"/>
        <w:numPr>
          <w:ilvl w:val="0"/>
          <w:numId w:val="0"/>
        </w:numPr>
        <w:ind w:left="360" w:hanging="360"/>
      </w:pPr>
    </w:p>
    <w:p w14:paraId="1ACD3022" w14:textId="77777777" w:rsidR="00FC7FAB" w:rsidRPr="00A26CA7" w:rsidRDefault="00FC7FAB" w:rsidP="007C36E4">
      <w:pPr>
        <w:pStyle w:val="mpcbullets1"/>
        <w:contextualSpacing/>
      </w:pPr>
      <w:r w:rsidRPr="00A26CA7">
        <w:t>standardised training is needed for PCWs to ensure they have the necessary skills and competencies to effectively manage the diverse needs of aged care consumers</w:t>
      </w:r>
    </w:p>
    <w:p w14:paraId="4CBC3F20" w14:textId="77777777" w:rsidR="00FC7FAB" w:rsidRPr="00A26CA7" w:rsidRDefault="00FC7FAB" w:rsidP="007C36E4">
      <w:pPr>
        <w:pStyle w:val="mpcbullets1"/>
        <w:contextualSpacing/>
      </w:pPr>
      <w:r w:rsidRPr="00A26CA7">
        <w:t>the mandatory training must be fit for purpose, enable innovative models of care and</w:t>
      </w:r>
    </w:p>
    <w:p w14:paraId="6CCE7FFF" w14:textId="77777777" w:rsidR="00FC7FAB" w:rsidRPr="00A26CA7" w:rsidRDefault="00FC7FAB" w:rsidP="007C36E4">
      <w:pPr>
        <w:pStyle w:val="mpcbullets1"/>
        <w:numPr>
          <w:ilvl w:val="0"/>
          <w:numId w:val="0"/>
        </w:numPr>
        <w:ind w:left="360"/>
      </w:pPr>
      <w:r w:rsidRPr="00A26CA7">
        <w:t>encompass specialties (such as dementia care, end of life care and remote care)</w:t>
      </w:r>
    </w:p>
    <w:p w14:paraId="49113D84" w14:textId="53103C2A" w:rsidR="00FC7FAB" w:rsidRPr="00A26CA7" w:rsidRDefault="00FC7FAB" w:rsidP="007C36E4">
      <w:pPr>
        <w:pStyle w:val="mpcbullets1"/>
        <w:contextualSpacing/>
      </w:pPr>
      <w:r w:rsidRPr="00A26CA7">
        <w:t>while certain qualifications may be considered important, formal qualifications alone are insufficient (</w:t>
      </w:r>
      <w:r w:rsidR="00152714">
        <w:t>e.g.</w:t>
      </w:r>
      <w:r w:rsidRPr="00A26CA7">
        <w:t>, PCWs also require personal qualities such as aptitude, empathy, resilience and customer service and these should be considered as part of registration)</w:t>
      </w:r>
    </w:p>
    <w:p w14:paraId="3571CFBD" w14:textId="77777777" w:rsidR="00FC7FAB" w:rsidRPr="00A26CA7" w:rsidRDefault="00FC7FAB" w:rsidP="007C36E4">
      <w:pPr>
        <w:pStyle w:val="mpcbullets1"/>
        <w:contextualSpacing/>
      </w:pPr>
      <w:r w:rsidRPr="00A26CA7">
        <w:lastRenderedPageBreak/>
        <w:t>requiring minimum qualifications may also address concerns relating to the English proficiency of workers.</w:t>
      </w:r>
    </w:p>
    <w:p w14:paraId="6A3B56E1" w14:textId="77777777" w:rsidR="00FC7FAB" w:rsidRPr="00A26CA7" w:rsidRDefault="00FC7FAB" w:rsidP="007C36E4">
      <w:pPr>
        <w:pStyle w:val="mpcbullets1"/>
        <w:numPr>
          <w:ilvl w:val="0"/>
          <w:numId w:val="0"/>
        </w:numPr>
        <w:ind w:left="360"/>
        <w:contextualSpacing/>
      </w:pPr>
    </w:p>
    <w:p w14:paraId="0180F20C" w14:textId="77777777" w:rsidR="00FC7FAB" w:rsidRDefault="00FC7FAB" w:rsidP="007C36E4">
      <w:pPr>
        <w:pStyle w:val="mpcNormal"/>
        <w:spacing w:after="0"/>
      </w:pPr>
      <w:r w:rsidRPr="00A26CA7">
        <w:t>Stakeholders strongly agreed that minimum qualifications must not act as a barrier to becoming (or remaining) a PCW. It was noted that for existing PCWs in particular, a transition or grandfathering arrangement would be required to ensure skilled and experienced staff are not ‘pushed out’ of the workforce due to the lack of formal qualifications. Some stakeholders also noted that the requirement for minimum qualifications may act as a barrier to some Aboriginal and Torres Strait Islander people working as PCWs in their local community.</w:t>
      </w:r>
    </w:p>
    <w:p w14:paraId="4AD276F2" w14:textId="77777777" w:rsidR="00FC7FAB" w:rsidRPr="00A26CA7" w:rsidRDefault="00FC7FAB" w:rsidP="007C36E4">
      <w:pPr>
        <w:pStyle w:val="mpcNormal"/>
        <w:spacing w:after="0"/>
      </w:pPr>
    </w:p>
    <w:p w14:paraId="072A11C9" w14:textId="77777777" w:rsidR="00FC7FAB" w:rsidRPr="00A26CA7" w:rsidRDefault="00FC7FAB" w:rsidP="007C36E4">
      <w:pPr>
        <w:pStyle w:val="mpcNormal"/>
        <w:spacing w:after="0"/>
      </w:pPr>
      <w:r w:rsidRPr="00A26CA7">
        <w:t xml:space="preserve">Stakeholders suggested various options for managing these concerns, including: </w:t>
      </w:r>
    </w:p>
    <w:p w14:paraId="73F91239" w14:textId="77777777" w:rsidR="00FC7FAB" w:rsidRDefault="00FC7FAB" w:rsidP="007C36E4">
      <w:pPr>
        <w:pStyle w:val="mpcbullets1"/>
        <w:numPr>
          <w:ilvl w:val="0"/>
          <w:numId w:val="0"/>
        </w:numPr>
        <w:ind w:left="360"/>
        <w:contextualSpacing/>
      </w:pPr>
    </w:p>
    <w:p w14:paraId="353D1C7A" w14:textId="6217ABF8" w:rsidR="00FC7FAB" w:rsidRPr="00A26CA7" w:rsidRDefault="00FC7FAB" w:rsidP="007C36E4">
      <w:pPr>
        <w:pStyle w:val="mpcbullets1"/>
        <w:contextualSpacing/>
      </w:pPr>
      <w:r w:rsidRPr="00A26CA7">
        <w:t xml:space="preserve">establishing a mechanism for the recognition of prior learning and experience </w:t>
      </w:r>
      <w:r w:rsidR="000F16AC">
        <w:t xml:space="preserve">to ensure the existing workforce </w:t>
      </w:r>
      <w:r w:rsidR="000C1DF9">
        <w:t>are</w:t>
      </w:r>
      <w:r w:rsidR="000F16AC">
        <w:t xml:space="preserve"> not disadvantaged or exited from the sector at a time when demand </w:t>
      </w:r>
      <w:r w:rsidR="000C1DF9">
        <w:t>for their services is</w:t>
      </w:r>
      <w:r w:rsidR="000F16AC">
        <w:t xml:space="preserve"> increasing</w:t>
      </w:r>
    </w:p>
    <w:p w14:paraId="047A5342" w14:textId="77777777" w:rsidR="00FC7FAB" w:rsidRPr="00A26CA7" w:rsidRDefault="00FC7FAB" w:rsidP="007C36E4">
      <w:pPr>
        <w:pStyle w:val="mpcbullets1"/>
        <w:contextualSpacing/>
      </w:pPr>
      <w:r w:rsidRPr="00A26CA7">
        <w:t>providing flexible pathways for entering the PCW workforce (including through formal and informal training and recognition of on the job learning)</w:t>
      </w:r>
    </w:p>
    <w:p w14:paraId="63D8C3C5" w14:textId="77777777" w:rsidR="00FC7FAB" w:rsidRPr="00A26CA7" w:rsidRDefault="00FC7FAB" w:rsidP="007C36E4">
      <w:pPr>
        <w:pStyle w:val="mpcbullets1"/>
        <w:contextualSpacing/>
      </w:pPr>
      <w:r w:rsidRPr="00A26CA7">
        <w:t>allowing new workers to work in the sector for an initial period (e.g. 3-6 months) prior to commencing their minimum qualifications and enabling workers to continue to work in the sector while obtaining their minimum qualifications</w:t>
      </w:r>
    </w:p>
    <w:p w14:paraId="0DDB50A2" w14:textId="768C0B8E" w:rsidR="00FC7FAB" w:rsidRPr="00A26CA7" w:rsidRDefault="00FC7FAB" w:rsidP="007C36E4">
      <w:pPr>
        <w:pStyle w:val="mpcbullets1"/>
        <w:contextualSpacing/>
      </w:pPr>
      <w:r w:rsidRPr="00A26CA7">
        <w:t>enabling existing workers, that have operated in the sector for a defined period of time and without issue to be ‘grandfathered’, while only new workers must meet the minimum qualification requirements</w:t>
      </w:r>
    </w:p>
    <w:p w14:paraId="31B11831" w14:textId="77777777" w:rsidR="00FC7FAB" w:rsidRPr="00A26CA7" w:rsidRDefault="00FC7FAB" w:rsidP="007C36E4">
      <w:pPr>
        <w:pStyle w:val="mpcbullets1"/>
        <w:contextualSpacing/>
      </w:pPr>
      <w:r w:rsidRPr="00A26CA7">
        <w:t>enabling providers that may struggle to recruit PCWs with the required minimum qualifications (e.g. providers in rural and remote areas) flexibility in how they determine suitability (i.e. the requirements may not apply in some geographic regions).</w:t>
      </w:r>
    </w:p>
    <w:p w14:paraId="71F9D242" w14:textId="77777777" w:rsidR="00FC7FAB" w:rsidRPr="00A26CA7" w:rsidRDefault="00FC7FAB" w:rsidP="007C36E4">
      <w:pPr>
        <w:pStyle w:val="mpcbullets1"/>
        <w:numPr>
          <w:ilvl w:val="0"/>
          <w:numId w:val="0"/>
        </w:numPr>
        <w:ind w:left="360"/>
        <w:contextualSpacing/>
      </w:pPr>
    </w:p>
    <w:p w14:paraId="1804329A" w14:textId="3F2F6D88" w:rsidR="00FC7FAB" w:rsidRDefault="00FC7FAB" w:rsidP="007C36E4">
      <w:pPr>
        <w:pStyle w:val="mpcNormal"/>
        <w:keepNext/>
        <w:spacing w:after="0"/>
      </w:pPr>
      <w:r w:rsidRPr="00A26CA7">
        <w:t>Noting the additional administrative and financial burden imposed on workers and providers, some stakeholders suggested that if Option 2 or 3 were to be implemented, the Commonwealth Government should offset the cost of compliance (and help attract PCWs to the sector</w:t>
      </w:r>
      <w:r w:rsidR="00152714">
        <w:t>)</w:t>
      </w:r>
      <w:r w:rsidRPr="00A26CA7">
        <w:t xml:space="preserve"> by:</w:t>
      </w:r>
    </w:p>
    <w:p w14:paraId="741604E6" w14:textId="77777777" w:rsidR="00FC7FAB" w:rsidRPr="00A26CA7" w:rsidRDefault="00FC7FAB" w:rsidP="007C36E4">
      <w:pPr>
        <w:pStyle w:val="mpcNormal"/>
        <w:keepNext/>
        <w:spacing w:after="0"/>
      </w:pPr>
    </w:p>
    <w:p w14:paraId="0BC6EC49" w14:textId="77777777" w:rsidR="00FC7FAB" w:rsidRPr="00A26CA7" w:rsidRDefault="00FC7FAB" w:rsidP="007C36E4">
      <w:pPr>
        <w:pStyle w:val="mpcbullets1"/>
        <w:keepNext/>
        <w:contextualSpacing/>
      </w:pPr>
      <w:r w:rsidRPr="00A26CA7">
        <w:t xml:space="preserve">introducing incentives for PCWs to upskill, such as financial support or tax incentives </w:t>
      </w:r>
    </w:p>
    <w:p w14:paraId="69636264" w14:textId="77777777" w:rsidR="00FC7FAB" w:rsidRPr="00A26CA7" w:rsidRDefault="00FC7FAB" w:rsidP="007C36E4">
      <w:pPr>
        <w:pStyle w:val="mpcbullets1"/>
        <w:keepNext/>
        <w:contextualSpacing/>
      </w:pPr>
      <w:r w:rsidRPr="00A26CA7">
        <w:t xml:space="preserve">offering government funded traineeships or VET courses </w:t>
      </w:r>
    </w:p>
    <w:p w14:paraId="24C2872C" w14:textId="77777777" w:rsidR="00FC7FAB" w:rsidRPr="00A26CA7" w:rsidRDefault="00FC7FAB" w:rsidP="007C36E4">
      <w:pPr>
        <w:pStyle w:val="mpcbullets1"/>
        <w:keepNext/>
        <w:contextualSpacing/>
      </w:pPr>
      <w:r w:rsidRPr="00A26CA7">
        <w:t>providing subsidies or scholarships to workers pursuing their minimum qualification.</w:t>
      </w:r>
    </w:p>
    <w:p w14:paraId="55C86B97" w14:textId="77777777" w:rsidR="00FC7FAB" w:rsidRPr="00A26CA7" w:rsidRDefault="00FC7FAB" w:rsidP="007C36E4">
      <w:pPr>
        <w:pStyle w:val="mpcbullets1"/>
        <w:numPr>
          <w:ilvl w:val="0"/>
          <w:numId w:val="0"/>
        </w:numPr>
        <w:ind w:left="360"/>
        <w:contextualSpacing/>
      </w:pPr>
    </w:p>
    <w:p w14:paraId="04D45A13" w14:textId="77777777" w:rsidR="00FC7FAB" w:rsidRDefault="00FC7FAB" w:rsidP="007C36E4">
      <w:pPr>
        <w:pStyle w:val="mpcNormal"/>
        <w:spacing w:after="0"/>
      </w:pPr>
      <w:r w:rsidRPr="00A26CA7">
        <w:t>Other options suggested to strengthen the skills and knowledge of PCWs in delivering aged care included:</w:t>
      </w:r>
    </w:p>
    <w:p w14:paraId="619032B0" w14:textId="77777777" w:rsidR="00FC7FAB" w:rsidRPr="00A26CA7" w:rsidRDefault="00FC7FAB" w:rsidP="007C36E4">
      <w:pPr>
        <w:pStyle w:val="mpcNormal"/>
        <w:spacing w:after="0"/>
      </w:pPr>
    </w:p>
    <w:p w14:paraId="73F57515" w14:textId="77777777" w:rsidR="00FC7FAB" w:rsidRPr="00A26CA7" w:rsidRDefault="00FC7FAB" w:rsidP="007C36E4">
      <w:pPr>
        <w:pStyle w:val="mpcbullets1"/>
        <w:contextualSpacing/>
      </w:pPr>
      <w:r w:rsidRPr="00A26CA7">
        <w:t>creating a national suite of mandatory training for aged care and disability care workers</w:t>
      </w:r>
    </w:p>
    <w:p w14:paraId="2A999D18" w14:textId="75A42B10" w:rsidR="00FC7FAB" w:rsidRPr="00A26CA7" w:rsidRDefault="00FC7FAB" w:rsidP="007C36E4">
      <w:pPr>
        <w:pStyle w:val="mpcbullets1"/>
        <w:contextualSpacing/>
      </w:pPr>
      <w:r w:rsidRPr="00A26CA7">
        <w:t xml:space="preserve">establishing mentoring, supervision and on the job learning requirements for workers or providing greater funding and accessibility to onsite learning </w:t>
      </w:r>
    </w:p>
    <w:p w14:paraId="622C5BF0" w14:textId="6A439EE3" w:rsidR="00FC7FAB" w:rsidRPr="00A26CA7" w:rsidRDefault="00FC7FAB" w:rsidP="007C36E4">
      <w:pPr>
        <w:pStyle w:val="mpcbullets1"/>
        <w:contextualSpacing/>
      </w:pPr>
      <w:r w:rsidRPr="00A26CA7">
        <w:t xml:space="preserve">‘tightening’ the training package rules for the </w:t>
      </w:r>
      <w:r w:rsidR="00AD689E">
        <w:t xml:space="preserve">Certificate III </w:t>
      </w:r>
      <w:r w:rsidRPr="00A26CA7">
        <w:t>to ensure appropriate electives and adequate on the job assessment are undertaken (to reduce reliance on simulated training over real life experience)</w:t>
      </w:r>
    </w:p>
    <w:p w14:paraId="5ACFE532" w14:textId="0EDE45A1" w:rsidR="00FC7FAB" w:rsidRPr="00A26CA7" w:rsidRDefault="00FC7FAB" w:rsidP="007C36E4">
      <w:pPr>
        <w:pStyle w:val="mpcbullets1"/>
        <w:contextualSpacing/>
      </w:pPr>
      <w:r w:rsidRPr="00A26CA7">
        <w:t>establish</w:t>
      </w:r>
      <w:r w:rsidR="00AD689E">
        <w:t>ing</w:t>
      </w:r>
      <w:r w:rsidRPr="00A26CA7">
        <w:t xml:space="preserve"> a system for the independent assessment of PCW competencies on the job</w:t>
      </w:r>
    </w:p>
    <w:p w14:paraId="7498954A" w14:textId="77777777" w:rsidR="00FC7FAB" w:rsidRPr="00A26CA7" w:rsidRDefault="00FC7FAB" w:rsidP="007C36E4">
      <w:pPr>
        <w:pStyle w:val="mpcbullets1"/>
        <w:contextualSpacing/>
      </w:pPr>
      <w:r w:rsidRPr="00A26CA7">
        <w:t>paying PCWs for any formal, relevant training they undertake</w:t>
      </w:r>
    </w:p>
    <w:p w14:paraId="1CA427D4" w14:textId="3DE37E6D" w:rsidR="00FC7FAB" w:rsidRPr="00A26CA7" w:rsidRDefault="00FC7FAB" w:rsidP="007C36E4">
      <w:pPr>
        <w:pStyle w:val="mpcbullets1"/>
        <w:contextualSpacing/>
      </w:pPr>
      <w:r w:rsidRPr="00A26CA7">
        <w:lastRenderedPageBreak/>
        <w:t>providing free training for aged care workers to obtain their Certificate III (noting that New Zealand has recently announced free training for the next two and a half years to encourage people into the aged care workforce</w:t>
      </w:r>
      <w:r w:rsidR="00AD689E">
        <w:rPr>
          <w:rStyle w:val="FootnoteReference"/>
        </w:rPr>
        <w:footnoteReference w:id="28"/>
      </w:r>
      <w:r w:rsidRPr="00A26CA7">
        <w:t>)</w:t>
      </w:r>
    </w:p>
    <w:p w14:paraId="6098B1E0" w14:textId="77777777" w:rsidR="00FC7FAB" w:rsidRPr="00A26CA7" w:rsidRDefault="00FC7FAB" w:rsidP="007C36E4">
      <w:pPr>
        <w:pStyle w:val="mpcbullets1"/>
        <w:contextualSpacing/>
      </w:pPr>
      <w:r w:rsidRPr="00A26CA7">
        <w:t xml:space="preserve">developing a qualifications and skills matrix (similar to that used in the disability care sector) </w:t>
      </w:r>
    </w:p>
    <w:p w14:paraId="5CECD19D" w14:textId="3614F4FB" w:rsidR="00FC7FAB" w:rsidRPr="00A26CA7" w:rsidRDefault="00FC7FAB" w:rsidP="007C36E4">
      <w:pPr>
        <w:pStyle w:val="mpcbullets1"/>
        <w:contextualSpacing/>
      </w:pPr>
      <w:r w:rsidRPr="00A26CA7">
        <w:t>creating a list of minimum (and additional) competencies against which PCWs must declare their competenc</w:t>
      </w:r>
      <w:r w:rsidR="004C6D1C">
        <w:t>e</w:t>
      </w:r>
      <w:r w:rsidRPr="00A26CA7">
        <w:t>.</w:t>
      </w:r>
    </w:p>
    <w:p w14:paraId="41B2BEF5" w14:textId="77777777" w:rsidR="007766B3" w:rsidRPr="00A26CA7" w:rsidRDefault="007766B3" w:rsidP="007C36E4">
      <w:pPr>
        <w:pStyle w:val="mpcbullets1"/>
        <w:numPr>
          <w:ilvl w:val="0"/>
          <w:numId w:val="0"/>
        </w:numPr>
        <w:rPr>
          <w:lang w:eastAsia="en-GB"/>
        </w:rPr>
      </w:pPr>
    </w:p>
    <w:p w14:paraId="01548A8F" w14:textId="77777777" w:rsidR="007766B3" w:rsidRPr="004000CD" w:rsidRDefault="007766B3" w:rsidP="007C36E4">
      <w:pPr>
        <w:pStyle w:val="mpcheading2"/>
        <w:spacing w:after="0"/>
      </w:pPr>
      <w:bookmarkStart w:id="66" w:name="_Toc45791049"/>
      <w:bookmarkStart w:id="67" w:name="_Toc45868451"/>
      <w:bookmarkStart w:id="68" w:name="_Toc49253256"/>
      <w:r w:rsidRPr="00283FD1">
        <w:t>C</w:t>
      </w:r>
      <w:r>
        <w:t>ontinuing professional development</w:t>
      </w:r>
      <w:bookmarkEnd w:id="66"/>
      <w:bookmarkEnd w:id="67"/>
      <w:bookmarkEnd w:id="68"/>
      <w:r>
        <w:t xml:space="preserve"> </w:t>
      </w:r>
    </w:p>
    <w:p w14:paraId="2354435A" w14:textId="77777777" w:rsidR="007766B3" w:rsidRPr="00A26CA7" w:rsidRDefault="007766B3" w:rsidP="007C36E4">
      <w:pPr>
        <w:rPr>
          <w:rFonts w:cstheme="minorHAnsi"/>
        </w:rPr>
      </w:pPr>
    </w:p>
    <w:p w14:paraId="72A89E66" w14:textId="77777777" w:rsidR="007766B3" w:rsidRPr="00A26CA7" w:rsidRDefault="007766B3" w:rsidP="007C36E4">
      <w:pPr>
        <w:pBdr>
          <w:top w:val="single" w:sz="4" w:space="1" w:color="auto"/>
          <w:left w:val="single" w:sz="4" w:space="4" w:color="auto"/>
          <w:bottom w:val="single" w:sz="4" w:space="1" w:color="auto"/>
          <w:right w:val="single" w:sz="4" w:space="4" w:color="auto"/>
        </w:pBdr>
        <w:shd w:val="clear" w:color="auto" w:fill="F2F2F2" w:themeFill="background1" w:themeFillShade="F2"/>
        <w:rPr>
          <w:rFonts w:cstheme="minorHAnsi"/>
        </w:rPr>
      </w:pPr>
      <w:r w:rsidRPr="00A26CA7">
        <w:rPr>
          <w:rFonts w:cstheme="minorHAnsi"/>
        </w:rPr>
        <w:t>Of the stakeholders responding to online consultation:</w:t>
      </w:r>
    </w:p>
    <w:p w14:paraId="49D19811" w14:textId="77777777" w:rsidR="007766B3" w:rsidRPr="00A26CA7" w:rsidRDefault="007766B3" w:rsidP="007C36E4">
      <w:pPr>
        <w:pStyle w:val="mpcbullets1"/>
        <w:numPr>
          <w:ilvl w:val="0"/>
          <w:numId w:val="0"/>
        </w:numPr>
        <w:pBdr>
          <w:top w:val="single" w:sz="4" w:space="1" w:color="auto"/>
          <w:left w:val="single" w:sz="4" w:space="4" w:color="auto"/>
          <w:bottom w:val="single" w:sz="4" w:space="1" w:color="auto"/>
          <w:right w:val="single" w:sz="4" w:space="4" w:color="auto"/>
        </w:pBdr>
        <w:shd w:val="clear" w:color="auto" w:fill="F2F2F2" w:themeFill="background1" w:themeFillShade="F2"/>
        <w:ind w:left="360" w:hanging="360"/>
      </w:pPr>
    </w:p>
    <w:p w14:paraId="6B06369A" w14:textId="77777777" w:rsidR="007741ED" w:rsidRPr="00A26CA7" w:rsidRDefault="007741ED" w:rsidP="007741ED">
      <w:pPr>
        <w:pStyle w:val="mpcbullets1"/>
        <w:pBdr>
          <w:top w:val="single" w:sz="4" w:space="1" w:color="auto"/>
          <w:left w:val="single" w:sz="4" w:space="4" w:color="auto"/>
          <w:bottom w:val="single" w:sz="4" w:space="1" w:color="auto"/>
          <w:right w:val="single" w:sz="4" w:space="4" w:color="auto"/>
        </w:pBdr>
        <w:shd w:val="clear" w:color="auto" w:fill="F2F2F2" w:themeFill="background1" w:themeFillShade="F2"/>
        <w:contextualSpacing/>
      </w:pPr>
      <w:r w:rsidRPr="00A26CA7">
        <w:t>17% selected Option 1, ‘Retain existing arrangements whereby providers must ensure that PCWs are recruited, trained, equipped and supported to deliver the outcomes required by the Aged Care Quality Standards (status quo)’</w:t>
      </w:r>
    </w:p>
    <w:p w14:paraId="71307505" w14:textId="65E76C69" w:rsidR="007741ED" w:rsidRDefault="007741ED" w:rsidP="007741ED">
      <w:pPr>
        <w:pStyle w:val="mpcbullets1"/>
        <w:pBdr>
          <w:top w:val="single" w:sz="4" w:space="1" w:color="auto"/>
          <w:left w:val="single" w:sz="4" w:space="4" w:color="auto"/>
          <w:bottom w:val="single" w:sz="4" w:space="1" w:color="auto"/>
          <w:right w:val="single" w:sz="4" w:space="4" w:color="auto"/>
        </w:pBdr>
        <w:shd w:val="clear" w:color="auto" w:fill="F2F2F2" w:themeFill="background1" w:themeFillShade="F2"/>
        <w:contextualSpacing/>
      </w:pPr>
      <w:r w:rsidRPr="00A26CA7">
        <w:t>8% selected Option 2, ‘Require providers to be satisfied that PCWs meet specified minimum CPD requirements’</w:t>
      </w:r>
    </w:p>
    <w:p w14:paraId="08C3A0B7" w14:textId="2F6FDAFA" w:rsidR="007766B3" w:rsidRPr="00A26CA7" w:rsidRDefault="007766B3" w:rsidP="007C36E4">
      <w:pPr>
        <w:pStyle w:val="mpcbullets1"/>
        <w:pBdr>
          <w:top w:val="single" w:sz="4" w:space="1" w:color="auto"/>
          <w:left w:val="single" w:sz="4" w:space="4" w:color="auto"/>
          <w:bottom w:val="single" w:sz="4" w:space="1" w:color="auto"/>
          <w:right w:val="single" w:sz="4" w:space="4" w:color="auto"/>
        </w:pBdr>
        <w:shd w:val="clear" w:color="auto" w:fill="F2F2F2" w:themeFill="background1" w:themeFillShade="F2"/>
        <w:contextualSpacing/>
      </w:pPr>
      <w:r w:rsidRPr="00A26CA7">
        <w:t>60% selected Option 3, ‘Establish a requirement for PCWs to demonstrate they have met specified minimum CPD requirements as part of a registration process (consistent with the National Scheme)’ as their preferred approach to CPD</w:t>
      </w:r>
    </w:p>
    <w:p w14:paraId="3979B8FB" w14:textId="77777777" w:rsidR="007766B3" w:rsidRPr="00A26CA7" w:rsidRDefault="007766B3" w:rsidP="007C36E4">
      <w:pPr>
        <w:pStyle w:val="mpcbullets1"/>
        <w:pBdr>
          <w:top w:val="single" w:sz="4" w:space="1" w:color="auto"/>
          <w:left w:val="single" w:sz="4" w:space="4" w:color="auto"/>
          <w:bottom w:val="single" w:sz="4" w:space="1" w:color="auto"/>
          <w:right w:val="single" w:sz="4" w:space="4" w:color="auto"/>
        </w:pBdr>
        <w:shd w:val="clear" w:color="auto" w:fill="F2F2F2" w:themeFill="background1" w:themeFillShade="F2"/>
        <w:contextualSpacing/>
      </w:pPr>
      <w:r w:rsidRPr="00A26CA7">
        <w:t>14% did not answer.</w:t>
      </w:r>
    </w:p>
    <w:p w14:paraId="0DBA3540" w14:textId="77777777" w:rsidR="007766B3" w:rsidRPr="00A26CA7" w:rsidRDefault="007766B3" w:rsidP="007C36E4">
      <w:pPr>
        <w:pStyle w:val="mpcbullets1"/>
        <w:numPr>
          <w:ilvl w:val="0"/>
          <w:numId w:val="0"/>
        </w:numPr>
        <w:ind w:left="360"/>
        <w:contextualSpacing/>
      </w:pPr>
    </w:p>
    <w:p w14:paraId="3B999757" w14:textId="3F334FC5" w:rsidR="007766B3" w:rsidRPr="00A26CA7" w:rsidRDefault="00C458CF" w:rsidP="007C36E4">
      <w:pPr>
        <w:pStyle w:val="mpcNormal"/>
        <w:spacing w:after="0"/>
      </w:pPr>
      <w:r>
        <w:t>Many s</w:t>
      </w:r>
      <w:r w:rsidR="007766B3" w:rsidRPr="00A26CA7">
        <w:t xml:space="preserve">takeholders </w:t>
      </w:r>
      <w:r w:rsidR="007766B3">
        <w:t>who</w:t>
      </w:r>
      <w:r w:rsidR="007766B3" w:rsidRPr="00A26CA7">
        <w:t xml:space="preserve"> supported Option 1 felt that providers and workers </w:t>
      </w:r>
      <w:r w:rsidR="007766B3">
        <w:t>needed</w:t>
      </w:r>
      <w:r w:rsidR="007766B3" w:rsidRPr="00A26CA7">
        <w:t xml:space="preserve"> the flexibility to determine the CPD required based on each worker’s skills and knowledge gaps, the environment they are working in and their role. Stakeholders suggested that the existing requirements are sufficient to ensure CPD is undertaken on an as need</w:t>
      </w:r>
      <w:r w:rsidR="004C6D1C">
        <w:t>ed</w:t>
      </w:r>
      <w:r w:rsidR="007766B3" w:rsidRPr="00A26CA7">
        <w:t xml:space="preserve"> basis, while requiring PCWs to provide evidence of CPD undertaken (as per Option 3) would be ‘overkill’ and challenging for workers to sustain.</w:t>
      </w:r>
    </w:p>
    <w:p w14:paraId="0E4FBC33" w14:textId="77777777" w:rsidR="007766B3" w:rsidRPr="00A26CA7" w:rsidRDefault="007766B3" w:rsidP="007C36E4">
      <w:pPr>
        <w:pStyle w:val="mpcNormal"/>
        <w:spacing w:after="0"/>
      </w:pPr>
    </w:p>
    <w:p w14:paraId="23F3B0F8" w14:textId="32CA0D63" w:rsidR="007766B3" w:rsidRDefault="007766B3" w:rsidP="007C36E4">
      <w:pPr>
        <w:pStyle w:val="mpcNormal"/>
        <w:spacing w:after="0"/>
      </w:pPr>
      <w:r w:rsidRPr="00A26CA7">
        <w:t xml:space="preserve">However, </w:t>
      </w:r>
      <w:r w:rsidR="00C458CF">
        <w:t xml:space="preserve">others </w:t>
      </w:r>
      <w:r w:rsidRPr="00A26CA7">
        <w:t xml:space="preserve">felt that establishing minimum CPD requirements is important to ensure providers are adequately training staff to address ‘critical sector-wide knowledge gaps’. </w:t>
      </w:r>
      <w:r w:rsidR="00C458CF">
        <w:t xml:space="preserve">Some stakeholders </w:t>
      </w:r>
      <w:r w:rsidRPr="00A26CA7">
        <w:t>noted that aged care workers often feel underprepared to meet the needs of consumers and a lack of structural</w:t>
      </w:r>
      <w:r>
        <w:t xml:space="preserve"> and </w:t>
      </w:r>
      <w:r w:rsidRPr="00A26CA7">
        <w:t xml:space="preserve">systemic support makes it challenging for workers to attend quality, relevant training. </w:t>
      </w:r>
    </w:p>
    <w:p w14:paraId="56D8D5A9" w14:textId="77777777" w:rsidR="007766B3" w:rsidRPr="00A26CA7" w:rsidRDefault="007766B3" w:rsidP="007C36E4">
      <w:pPr>
        <w:pStyle w:val="mpcNormal"/>
        <w:spacing w:after="0"/>
      </w:pPr>
    </w:p>
    <w:p w14:paraId="57899DBE" w14:textId="77777777" w:rsidR="007766B3" w:rsidRPr="00A26CA7" w:rsidRDefault="007766B3" w:rsidP="007C36E4">
      <w:pPr>
        <w:pStyle w:val="mpcNormal"/>
        <w:spacing w:after="0"/>
      </w:pPr>
      <w:r w:rsidRPr="00A26CA7">
        <w:t xml:space="preserve">Stakeholders </w:t>
      </w:r>
      <w:r>
        <w:t>who</w:t>
      </w:r>
      <w:r w:rsidRPr="00A26CA7">
        <w:t xml:space="preserve"> supported Options 2 and 3 noted that:</w:t>
      </w:r>
    </w:p>
    <w:p w14:paraId="55756AB3" w14:textId="77777777" w:rsidR="007766B3" w:rsidRDefault="007766B3" w:rsidP="007C36E4">
      <w:pPr>
        <w:pStyle w:val="mpcbullets1"/>
        <w:numPr>
          <w:ilvl w:val="0"/>
          <w:numId w:val="0"/>
        </w:numPr>
        <w:ind w:left="360"/>
        <w:contextualSpacing/>
      </w:pPr>
    </w:p>
    <w:p w14:paraId="148B255A" w14:textId="508B2BD5" w:rsidR="007766B3" w:rsidRPr="00A26CA7" w:rsidRDefault="007766B3" w:rsidP="007C36E4">
      <w:pPr>
        <w:pStyle w:val="mpcbullets1"/>
        <w:contextualSpacing/>
      </w:pPr>
      <w:r w:rsidRPr="00A26CA7">
        <w:t xml:space="preserve">continued investment in CPD for staff should be viewed as a necessary and core part of business for aged care providers </w:t>
      </w:r>
    </w:p>
    <w:p w14:paraId="3924BCBF" w14:textId="77777777" w:rsidR="007766B3" w:rsidRPr="00A26CA7" w:rsidRDefault="007766B3" w:rsidP="007C36E4">
      <w:pPr>
        <w:pStyle w:val="mpcbullets1"/>
        <w:contextualSpacing/>
      </w:pPr>
      <w:r w:rsidRPr="00A26CA7">
        <w:t>improved training and CPD w</w:t>
      </w:r>
      <w:r>
        <w:t>ould</w:t>
      </w:r>
      <w:r w:rsidRPr="00A26CA7">
        <w:t xml:space="preserve"> support the ‘professionalisation’ of aged care work</w:t>
      </w:r>
    </w:p>
    <w:p w14:paraId="5169B710" w14:textId="061D75E8" w:rsidR="007766B3" w:rsidRPr="00A26CA7" w:rsidRDefault="007766B3" w:rsidP="007C36E4">
      <w:pPr>
        <w:pStyle w:val="mpcbullets1"/>
        <w:contextualSpacing/>
      </w:pPr>
      <w:r w:rsidRPr="00A26CA7">
        <w:t>affordability must be considered to ensure CPD requirements align with</w:t>
      </w:r>
      <w:r>
        <w:t xml:space="preserve"> the</w:t>
      </w:r>
      <w:r w:rsidRPr="00A26CA7">
        <w:t xml:space="preserve"> generally low remuneration of PCWs and that relevant CPD undertaken could be tax </w:t>
      </w:r>
      <w:r>
        <w:t xml:space="preserve">deductable </w:t>
      </w:r>
    </w:p>
    <w:p w14:paraId="5FA0CC2F" w14:textId="77777777" w:rsidR="007766B3" w:rsidRPr="00A26CA7" w:rsidRDefault="007766B3" w:rsidP="007C36E4">
      <w:pPr>
        <w:pStyle w:val="mpcbullets1"/>
        <w:contextualSpacing/>
      </w:pPr>
      <w:r w:rsidRPr="00A26CA7">
        <w:t>specified requirements could include that any CPD undertaken:</w:t>
      </w:r>
    </w:p>
    <w:p w14:paraId="36C60C14" w14:textId="77777777" w:rsidR="007766B3" w:rsidRPr="00A26CA7" w:rsidRDefault="007766B3" w:rsidP="00667D9F">
      <w:pPr>
        <w:pStyle w:val="mpcbullets2"/>
        <w:numPr>
          <w:ilvl w:val="0"/>
          <w:numId w:val="6"/>
        </w:numPr>
        <w:ind w:left="720"/>
        <w:contextualSpacing/>
      </w:pPr>
      <w:r w:rsidRPr="00A26CA7">
        <w:t xml:space="preserve">must include a portion of face-to-face learning </w:t>
      </w:r>
    </w:p>
    <w:p w14:paraId="66CA2F68" w14:textId="77777777" w:rsidR="007766B3" w:rsidRPr="00A26CA7" w:rsidRDefault="007766B3" w:rsidP="00667D9F">
      <w:pPr>
        <w:pStyle w:val="mpcbullets2"/>
        <w:numPr>
          <w:ilvl w:val="0"/>
          <w:numId w:val="6"/>
        </w:numPr>
        <w:ind w:left="720"/>
        <w:contextualSpacing/>
      </w:pPr>
      <w:r w:rsidRPr="00A26CA7">
        <w:t>must be provided by qualified trainers in a ‘reputable’ training setting</w:t>
      </w:r>
    </w:p>
    <w:p w14:paraId="7589A84E" w14:textId="77777777" w:rsidR="007766B3" w:rsidRPr="00A26CA7" w:rsidRDefault="007766B3" w:rsidP="00667D9F">
      <w:pPr>
        <w:pStyle w:val="mpcbullets2"/>
        <w:numPr>
          <w:ilvl w:val="0"/>
          <w:numId w:val="6"/>
        </w:numPr>
        <w:ind w:left="720"/>
        <w:contextualSpacing/>
      </w:pPr>
      <w:r w:rsidRPr="00A26CA7">
        <w:t>must have sufficient connection to the employee’s current work activities</w:t>
      </w:r>
    </w:p>
    <w:p w14:paraId="3D0ABE62" w14:textId="77777777" w:rsidR="007766B3" w:rsidRPr="00A26CA7" w:rsidRDefault="007766B3" w:rsidP="00667D9F">
      <w:pPr>
        <w:pStyle w:val="mpcbullets2"/>
        <w:numPr>
          <w:ilvl w:val="0"/>
          <w:numId w:val="6"/>
        </w:numPr>
        <w:ind w:left="720"/>
        <w:contextualSpacing/>
      </w:pPr>
      <w:r w:rsidRPr="00A26CA7">
        <w:lastRenderedPageBreak/>
        <w:t>maintains or improves the specific skills or knowledge required in the person’s current work activities and/or may result in an increase in income from current work activities</w:t>
      </w:r>
    </w:p>
    <w:p w14:paraId="60368DCA" w14:textId="77777777" w:rsidR="007766B3" w:rsidRPr="00A26CA7" w:rsidRDefault="007766B3" w:rsidP="00667D9F">
      <w:pPr>
        <w:pStyle w:val="mpcbullets2"/>
        <w:numPr>
          <w:ilvl w:val="0"/>
          <w:numId w:val="6"/>
        </w:numPr>
        <w:ind w:left="720"/>
        <w:contextualSpacing/>
      </w:pPr>
      <w:r w:rsidRPr="00A26CA7">
        <w:t>must address critical sector-wide knowledge gaps such as infection control, meal/swallowing management, wound management, fall prevention, dealing with challenging behaviours, use of restraint, dementia care, palliative care</w:t>
      </w:r>
      <w:r>
        <w:t xml:space="preserve"> and</w:t>
      </w:r>
      <w:r w:rsidRPr="00A26CA7">
        <w:t xml:space="preserve"> cultural diversity</w:t>
      </w:r>
    </w:p>
    <w:p w14:paraId="27EA7692" w14:textId="742BCC48" w:rsidR="007766B3" w:rsidRPr="00A26CA7" w:rsidRDefault="007766B3" w:rsidP="007C36E4">
      <w:pPr>
        <w:pStyle w:val="mpcbullets1"/>
        <w:contextualSpacing/>
      </w:pPr>
      <w:r w:rsidRPr="00A26CA7">
        <w:t xml:space="preserve">minimum CPD requirements must be set in consultation with </w:t>
      </w:r>
      <w:r>
        <w:t>industry</w:t>
      </w:r>
      <w:r w:rsidRPr="00A26CA7">
        <w:t xml:space="preserve"> and should provide flexibility for workers to choose training that meets their needs and</w:t>
      </w:r>
      <w:r>
        <w:t xml:space="preserve"> </w:t>
      </w:r>
      <w:r w:rsidR="004C6D1C">
        <w:t xml:space="preserve">is </w:t>
      </w:r>
      <w:r>
        <w:t xml:space="preserve">able to be </w:t>
      </w:r>
      <w:r w:rsidRPr="00A26CA7">
        <w:t>access</w:t>
      </w:r>
      <w:r>
        <w:t>ed</w:t>
      </w:r>
      <w:r w:rsidRPr="00A26CA7">
        <w:t xml:space="preserve"> </w:t>
      </w:r>
      <w:r>
        <w:t>(</w:t>
      </w:r>
      <w:r w:rsidRPr="00A26CA7">
        <w:t>particularly for those workers in regional and remote areas</w:t>
      </w:r>
      <w:r>
        <w:t>)</w:t>
      </w:r>
      <w:r w:rsidRPr="00A26CA7">
        <w:t>.</w:t>
      </w:r>
    </w:p>
    <w:p w14:paraId="68D38000" w14:textId="77777777" w:rsidR="007766B3" w:rsidRPr="00A26CA7" w:rsidRDefault="007766B3" w:rsidP="007C36E4">
      <w:pPr>
        <w:pStyle w:val="mpcbullets1"/>
        <w:numPr>
          <w:ilvl w:val="0"/>
          <w:numId w:val="0"/>
        </w:numPr>
        <w:ind w:left="360"/>
        <w:contextualSpacing/>
      </w:pPr>
    </w:p>
    <w:p w14:paraId="14E26C59" w14:textId="77777777" w:rsidR="007766B3" w:rsidRPr="00A26CA7" w:rsidRDefault="007766B3" w:rsidP="007C36E4">
      <w:pPr>
        <w:pStyle w:val="mpcNormal"/>
        <w:spacing w:after="0"/>
        <w:rPr>
          <w:highlight w:val="yellow"/>
        </w:rPr>
      </w:pPr>
      <w:r w:rsidRPr="00A26CA7">
        <w:t>In relation to Option 3, stakeholders suggested that workers could complete an annual attestation that they have completed the required hours or units of CPD to demonstrate compliance with this requirement. Stakeholders variously suggested a minimum of 48 hours over a three year period; a minimum of 10-20 hours per year; and that 20 hours per year is insufficient. One stakeholder suggested mandatory annual, independent assessment of PCW skills and competencies be required to retain registration.</w:t>
      </w:r>
    </w:p>
    <w:p w14:paraId="4D635ED5" w14:textId="77777777" w:rsidR="007766B3" w:rsidRDefault="007766B3" w:rsidP="007C36E4">
      <w:pPr>
        <w:pStyle w:val="mpcNormal"/>
        <w:spacing w:after="0"/>
      </w:pPr>
    </w:p>
    <w:p w14:paraId="7839FCAC" w14:textId="77777777" w:rsidR="007766B3" w:rsidRDefault="007766B3" w:rsidP="007C36E4">
      <w:pPr>
        <w:pStyle w:val="mpcNormal"/>
        <w:spacing w:after="0"/>
      </w:pPr>
      <w:r w:rsidRPr="00A26CA7">
        <w:t xml:space="preserve">Other options suggested for strengthening CPD </w:t>
      </w:r>
      <w:r>
        <w:t>for</w:t>
      </w:r>
      <w:r w:rsidRPr="00A26CA7">
        <w:t xml:space="preserve"> PCWs and others delivering aged care included:</w:t>
      </w:r>
    </w:p>
    <w:p w14:paraId="639F56E1" w14:textId="77777777" w:rsidR="007766B3" w:rsidRPr="00A26CA7" w:rsidRDefault="007766B3" w:rsidP="007C36E4">
      <w:pPr>
        <w:pStyle w:val="mpcNormal"/>
        <w:spacing w:after="0"/>
      </w:pPr>
    </w:p>
    <w:p w14:paraId="72D4F470" w14:textId="4F48D32D" w:rsidR="007766B3" w:rsidRPr="00A26CA7" w:rsidRDefault="007766B3" w:rsidP="007C36E4">
      <w:pPr>
        <w:pStyle w:val="mpcbullets1"/>
        <w:contextualSpacing/>
      </w:pPr>
      <w:r w:rsidRPr="00A26CA7">
        <w:t>placing educators onsite in aged care homes with responsibility for upskilling staff or assigning specified experienced PCWs with responsibility for training all new recruits and supporting ongoing CPD</w:t>
      </w:r>
    </w:p>
    <w:p w14:paraId="6EB272CE" w14:textId="77777777" w:rsidR="007766B3" w:rsidRPr="00A26CA7" w:rsidRDefault="007766B3" w:rsidP="007C36E4">
      <w:pPr>
        <w:pStyle w:val="mpcbullets1"/>
        <w:contextualSpacing/>
      </w:pPr>
      <w:r w:rsidRPr="00A26CA7">
        <w:t>funding certain aged care providers to provide specified CPD to PCWs</w:t>
      </w:r>
    </w:p>
    <w:p w14:paraId="4EEB4E6F" w14:textId="77777777" w:rsidR="007766B3" w:rsidRPr="00A26CA7" w:rsidRDefault="007766B3" w:rsidP="007C36E4">
      <w:pPr>
        <w:pStyle w:val="mpcbullets1"/>
        <w:contextualSpacing/>
      </w:pPr>
      <w:r w:rsidRPr="00A26CA7">
        <w:t xml:space="preserve">reviewing the training/courses available to aged care workers to endorse certain quality training and events </w:t>
      </w:r>
    </w:p>
    <w:p w14:paraId="342CCD12" w14:textId="77777777" w:rsidR="007766B3" w:rsidRPr="00A26CA7" w:rsidRDefault="007766B3" w:rsidP="007C36E4">
      <w:pPr>
        <w:pStyle w:val="mpcbullets1"/>
        <w:contextualSpacing/>
      </w:pPr>
      <w:r w:rsidRPr="00A26CA7">
        <w:t xml:space="preserve">co-designing training that draws on the lived experience of consumers and their representatives </w:t>
      </w:r>
    </w:p>
    <w:p w14:paraId="35C3EFBA" w14:textId="77777777" w:rsidR="007766B3" w:rsidRPr="00A26CA7" w:rsidRDefault="007766B3" w:rsidP="007C36E4">
      <w:pPr>
        <w:pStyle w:val="mpcbullets1"/>
        <w:contextualSpacing/>
      </w:pPr>
      <w:r>
        <w:t xml:space="preserve">that </w:t>
      </w:r>
      <w:r w:rsidRPr="00A26CA7">
        <w:t>qualification/training and CPD requirements would be best addressed through the Aged Services Industry Reference Committee and the Human Services Care Skills Organisation Pilot.</w:t>
      </w:r>
    </w:p>
    <w:p w14:paraId="3EEA685E" w14:textId="44CBD5C9" w:rsidR="007766B3" w:rsidRDefault="007766B3" w:rsidP="007C36E4">
      <w:pPr>
        <w:pStyle w:val="mpcbullets1"/>
        <w:numPr>
          <w:ilvl w:val="0"/>
          <w:numId w:val="0"/>
        </w:numPr>
      </w:pPr>
    </w:p>
    <w:p w14:paraId="5AD55C8E" w14:textId="3340EB7F" w:rsidR="000823BA" w:rsidRDefault="005130A6" w:rsidP="007C36E4">
      <w:pPr>
        <w:pStyle w:val="mpcbullets1"/>
        <w:numPr>
          <w:ilvl w:val="0"/>
          <w:numId w:val="0"/>
        </w:numPr>
      </w:pPr>
      <w:r>
        <w:t xml:space="preserve">While the impact of COVID-19 on the aged care workforce continues to evolve, experience to date indicates soft skills (such as effective communication and good judgement) are as relevant as core skills, like infection control. Soft skills that enable a workforce to respond to issues as they arise are arguably better managed at the local level where issues can be identified and </w:t>
      </w:r>
      <w:r w:rsidR="00971341">
        <w:t>understood</w:t>
      </w:r>
      <w:r>
        <w:t xml:space="preserve"> in context. </w:t>
      </w:r>
    </w:p>
    <w:p w14:paraId="03BA6AAD" w14:textId="77777777" w:rsidR="000823BA" w:rsidRDefault="000823BA" w:rsidP="007C36E4">
      <w:pPr>
        <w:pStyle w:val="mpcbullets1"/>
        <w:numPr>
          <w:ilvl w:val="0"/>
          <w:numId w:val="0"/>
        </w:numPr>
      </w:pPr>
    </w:p>
    <w:p w14:paraId="363DE3E2" w14:textId="7450C119" w:rsidR="007766B3" w:rsidRPr="009F5DC5" w:rsidRDefault="007766B3" w:rsidP="007C36E4">
      <w:pPr>
        <w:pStyle w:val="mpcheading2"/>
        <w:keepNext/>
        <w:spacing w:after="0"/>
        <w:rPr>
          <w:lang w:eastAsia="en-GB"/>
        </w:rPr>
      </w:pPr>
      <w:bookmarkStart w:id="69" w:name="_Toc45791050"/>
      <w:bookmarkStart w:id="70" w:name="_Toc45868452"/>
      <w:bookmarkStart w:id="71" w:name="_Toc49253257"/>
      <w:r>
        <w:rPr>
          <w:lang w:eastAsia="en-GB"/>
        </w:rPr>
        <w:t>Who</w:t>
      </w:r>
      <w:r w:rsidRPr="009F5DC5">
        <w:rPr>
          <w:lang w:eastAsia="en-GB"/>
        </w:rPr>
        <w:t xml:space="preserve"> </w:t>
      </w:r>
      <w:r>
        <w:rPr>
          <w:lang w:eastAsia="en-GB"/>
        </w:rPr>
        <w:t>should manage a</w:t>
      </w:r>
      <w:r w:rsidRPr="009F5DC5">
        <w:rPr>
          <w:lang w:eastAsia="en-GB"/>
        </w:rPr>
        <w:t xml:space="preserve"> registration </w:t>
      </w:r>
      <w:r>
        <w:rPr>
          <w:lang w:eastAsia="en-GB"/>
        </w:rPr>
        <w:t>scheme</w:t>
      </w:r>
      <w:bookmarkEnd w:id="69"/>
      <w:r>
        <w:rPr>
          <w:lang w:eastAsia="en-GB"/>
        </w:rPr>
        <w:t>?</w:t>
      </w:r>
      <w:bookmarkEnd w:id="70"/>
      <w:bookmarkEnd w:id="71"/>
    </w:p>
    <w:p w14:paraId="4B3DD6DB" w14:textId="2A92220F" w:rsidR="007766B3" w:rsidRDefault="007766B3" w:rsidP="007C36E4">
      <w:pPr>
        <w:pStyle w:val="mpcbullets1"/>
        <w:keepNext/>
        <w:numPr>
          <w:ilvl w:val="0"/>
          <w:numId w:val="0"/>
        </w:numPr>
      </w:pPr>
    </w:p>
    <w:p w14:paraId="4EF23778" w14:textId="77777777" w:rsidR="00D708F0" w:rsidRPr="00954F6E" w:rsidRDefault="00D708F0" w:rsidP="007C36E4">
      <w:pPr>
        <w:pStyle w:val="mpcNormal"/>
        <w:keepNext/>
        <w:spacing w:after="0"/>
        <w:rPr>
          <w:rFonts w:cstheme="minorHAnsi"/>
        </w:rPr>
      </w:pPr>
      <w:r w:rsidRPr="00954F6E">
        <w:rPr>
          <w:rFonts w:cstheme="minorHAnsi"/>
        </w:rPr>
        <w:t>Stakeholder feedback</w:t>
      </w:r>
      <w:r>
        <w:rPr>
          <w:rFonts w:cstheme="minorHAnsi"/>
        </w:rPr>
        <w:t xml:space="preserve"> regarding who should be responsible for a registration scheme</w:t>
      </w:r>
      <w:r w:rsidRPr="00954F6E">
        <w:rPr>
          <w:rFonts w:cstheme="minorHAnsi"/>
        </w:rPr>
        <w:t xml:space="preserve"> predominantly fell into two categories: </w:t>
      </w:r>
    </w:p>
    <w:p w14:paraId="3D46D408" w14:textId="77777777" w:rsidR="00D708F0" w:rsidRPr="00A26CA7" w:rsidRDefault="00D708F0" w:rsidP="007C36E4">
      <w:pPr>
        <w:pStyle w:val="mpcNormal"/>
        <w:spacing w:after="0"/>
        <w:rPr>
          <w:rFonts w:cstheme="minorHAnsi"/>
        </w:rPr>
      </w:pPr>
    </w:p>
    <w:p w14:paraId="6140FDC9" w14:textId="77777777" w:rsidR="00D708F0" w:rsidRPr="00954F6E" w:rsidRDefault="00D708F0" w:rsidP="007C36E4">
      <w:pPr>
        <w:pStyle w:val="mpcbullets1"/>
        <w:ind w:hanging="357"/>
        <w:rPr>
          <w:rFonts w:cstheme="minorHAnsi"/>
        </w:rPr>
      </w:pPr>
      <w:r>
        <w:rPr>
          <w:rFonts w:cstheme="minorHAnsi"/>
        </w:rPr>
        <w:t xml:space="preserve">that </w:t>
      </w:r>
      <w:r w:rsidRPr="00A26CA7">
        <w:rPr>
          <w:rFonts w:cstheme="minorHAnsi"/>
        </w:rPr>
        <w:t xml:space="preserve">registration should be an extension of worker screening and be managed by the body overseeing </w:t>
      </w:r>
      <w:r>
        <w:rPr>
          <w:rFonts w:cstheme="minorHAnsi"/>
        </w:rPr>
        <w:t xml:space="preserve">worker screening </w:t>
      </w:r>
      <w:r w:rsidRPr="00A26CA7">
        <w:rPr>
          <w:rFonts w:cstheme="minorHAnsi"/>
        </w:rPr>
        <w:t>clearance decisions (e.g. ACQS Commission or a new national body)</w:t>
      </w:r>
      <w:r>
        <w:rPr>
          <w:rFonts w:cstheme="minorHAnsi"/>
        </w:rPr>
        <w:t>, or</w:t>
      </w:r>
    </w:p>
    <w:p w14:paraId="155501C8" w14:textId="37A66F1D" w:rsidR="00D708F0" w:rsidRPr="00A26CA7" w:rsidRDefault="00D708F0" w:rsidP="007C36E4">
      <w:pPr>
        <w:pStyle w:val="mpcbullets1"/>
        <w:ind w:hanging="357"/>
        <w:rPr>
          <w:rFonts w:cstheme="minorHAnsi"/>
        </w:rPr>
      </w:pPr>
      <w:r>
        <w:rPr>
          <w:rFonts w:cstheme="minorHAnsi"/>
        </w:rPr>
        <w:t xml:space="preserve">that </w:t>
      </w:r>
      <w:r w:rsidRPr="00A26CA7">
        <w:rPr>
          <w:rFonts w:cstheme="minorHAnsi"/>
        </w:rPr>
        <w:t>worker regulation</w:t>
      </w:r>
      <w:r>
        <w:rPr>
          <w:rFonts w:cstheme="minorHAnsi"/>
        </w:rPr>
        <w:t xml:space="preserve"> against registration standards</w:t>
      </w:r>
      <w:r w:rsidRPr="00A26CA7">
        <w:rPr>
          <w:rFonts w:cstheme="minorHAnsi"/>
        </w:rPr>
        <w:t xml:space="preserve"> should be monitored by a national board under the N</w:t>
      </w:r>
      <w:r w:rsidR="00AA2420">
        <w:rPr>
          <w:rFonts w:cstheme="minorHAnsi"/>
        </w:rPr>
        <w:t>ational Scheme (N</w:t>
      </w:r>
      <w:r w:rsidRPr="00A26CA7">
        <w:rPr>
          <w:rFonts w:cstheme="minorHAnsi"/>
        </w:rPr>
        <w:t>RAS</w:t>
      </w:r>
      <w:r w:rsidR="00AA2420">
        <w:rPr>
          <w:rFonts w:cstheme="minorHAnsi"/>
        </w:rPr>
        <w:t>)</w:t>
      </w:r>
      <w:r w:rsidRPr="00A26CA7">
        <w:rPr>
          <w:rFonts w:cstheme="minorHAnsi"/>
        </w:rPr>
        <w:t xml:space="preserve">. </w:t>
      </w:r>
    </w:p>
    <w:p w14:paraId="79320F7F" w14:textId="77777777" w:rsidR="00D708F0" w:rsidRPr="00A26CA7" w:rsidRDefault="00D708F0" w:rsidP="007C36E4">
      <w:pPr>
        <w:pStyle w:val="mpcbullets1"/>
        <w:numPr>
          <w:ilvl w:val="0"/>
          <w:numId w:val="0"/>
        </w:numPr>
        <w:ind w:left="360" w:hanging="360"/>
        <w:rPr>
          <w:rFonts w:cstheme="minorHAnsi"/>
        </w:rPr>
      </w:pPr>
    </w:p>
    <w:p w14:paraId="10898409" w14:textId="1476E546" w:rsidR="00D708F0" w:rsidRPr="00A26CA7" w:rsidRDefault="00D708F0" w:rsidP="007C36E4">
      <w:pPr>
        <w:pStyle w:val="mpcbullets1"/>
        <w:numPr>
          <w:ilvl w:val="0"/>
          <w:numId w:val="0"/>
        </w:numPr>
        <w:rPr>
          <w:rFonts w:cstheme="minorHAnsi"/>
        </w:rPr>
      </w:pPr>
      <w:r>
        <w:rPr>
          <w:rFonts w:cstheme="minorHAnsi"/>
        </w:rPr>
        <w:t xml:space="preserve">A limited number of </w:t>
      </w:r>
      <w:r w:rsidRPr="00A26CA7">
        <w:rPr>
          <w:rFonts w:cstheme="minorHAnsi"/>
        </w:rPr>
        <w:t xml:space="preserve">stakeholders made submissions about the involvement of industry or the establishment of an association to oversee registration standards separate to any national body </w:t>
      </w:r>
      <w:r w:rsidRPr="00A26CA7">
        <w:rPr>
          <w:rFonts w:cstheme="minorHAnsi"/>
        </w:rPr>
        <w:lastRenderedPageBreak/>
        <w:t xml:space="preserve">conducting </w:t>
      </w:r>
      <w:r>
        <w:rPr>
          <w:rFonts w:cstheme="minorHAnsi"/>
        </w:rPr>
        <w:t xml:space="preserve">worker </w:t>
      </w:r>
      <w:r w:rsidRPr="00A26CA7">
        <w:rPr>
          <w:rFonts w:cstheme="minorHAnsi"/>
        </w:rPr>
        <w:t>screening</w:t>
      </w:r>
      <w:r w:rsidR="00CA0E74">
        <w:rPr>
          <w:rFonts w:cstheme="minorHAnsi"/>
        </w:rPr>
        <w:t xml:space="preserve">, </w:t>
      </w:r>
      <w:r w:rsidR="00F03906">
        <w:rPr>
          <w:rFonts w:cstheme="minorHAnsi"/>
        </w:rPr>
        <w:t>noting that</w:t>
      </w:r>
      <w:r w:rsidR="00CA0E74">
        <w:rPr>
          <w:rFonts w:cstheme="minorHAnsi"/>
        </w:rPr>
        <w:t xml:space="preserve"> there is room within the regulatory environment to entertain alternative options for monitoring workers against nationally determined standards</w:t>
      </w:r>
      <w:r w:rsidRPr="00A26CA7">
        <w:rPr>
          <w:rFonts w:cstheme="minorHAnsi"/>
        </w:rPr>
        <w:t xml:space="preserve">. </w:t>
      </w:r>
    </w:p>
    <w:p w14:paraId="069AFB5B" w14:textId="77777777" w:rsidR="00D708F0" w:rsidRDefault="00D708F0" w:rsidP="007C36E4">
      <w:pPr>
        <w:pStyle w:val="mpcNormal"/>
        <w:spacing w:after="0"/>
        <w:rPr>
          <w:rFonts w:cstheme="minorHAnsi"/>
        </w:rPr>
      </w:pPr>
    </w:p>
    <w:p w14:paraId="02A97A60" w14:textId="7C8F4C17" w:rsidR="00D708F0" w:rsidRPr="004B7092" w:rsidRDefault="00D708F0" w:rsidP="007C36E4">
      <w:pPr>
        <w:pStyle w:val="mpcNormal"/>
        <w:spacing w:after="0"/>
        <w:rPr>
          <w:rFonts w:cstheme="minorHAnsi"/>
          <w:b/>
          <w:bCs/>
        </w:rPr>
      </w:pPr>
      <w:r w:rsidRPr="004B7092">
        <w:rPr>
          <w:rFonts w:cstheme="minorHAnsi"/>
          <w:b/>
          <w:bCs/>
        </w:rPr>
        <w:t xml:space="preserve">National body responsible for </w:t>
      </w:r>
      <w:r w:rsidR="00CA0E74">
        <w:rPr>
          <w:rFonts w:cstheme="minorHAnsi"/>
          <w:b/>
          <w:bCs/>
        </w:rPr>
        <w:t xml:space="preserve">registration in addition to worker screening </w:t>
      </w:r>
    </w:p>
    <w:p w14:paraId="3AC85DB6" w14:textId="77777777" w:rsidR="00D708F0" w:rsidRPr="007B1FC4" w:rsidRDefault="00D708F0" w:rsidP="007C36E4">
      <w:pPr>
        <w:pStyle w:val="mpcNormal"/>
        <w:spacing w:after="0"/>
        <w:rPr>
          <w:rFonts w:cstheme="minorHAnsi"/>
        </w:rPr>
      </w:pPr>
    </w:p>
    <w:p w14:paraId="33BFE8BC" w14:textId="44727007" w:rsidR="00D708F0" w:rsidRPr="007B1FC4" w:rsidRDefault="00CA0E74" w:rsidP="007C36E4">
      <w:pPr>
        <w:pStyle w:val="mpcNormal"/>
        <w:spacing w:after="0"/>
        <w:rPr>
          <w:rFonts w:cstheme="minorHAnsi"/>
        </w:rPr>
      </w:pPr>
      <w:r w:rsidRPr="007B1FC4">
        <w:rPr>
          <w:rFonts w:cstheme="minorHAnsi"/>
        </w:rPr>
        <w:t>As discussed in Chapter 4, s</w:t>
      </w:r>
      <w:r w:rsidR="00E534AA" w:rsidRPr="007B1FC4">
        <w:rPr>
          <w:rFonts w:cstheme="minorHAnsi"/>
        </w:rPr>
        <w:t xml:space="preserve">takeholders </w:t>
      </w:r>
      <w:r w:rsidRPr="007B1FC4">
        <w:rPr>
          <w:rFonts w:cstheme="minorHAnsi"/>
        </w:rPr>
        <w:t xml:space="preserve">were keen to look to existing regulatory bodies to support the implementation of a worker </w:t>
      </w:r>
      <w:r w:rsidR="00DC6D26" w:rsidRPr="007B1FC4">
        <w:rPr>
          <w:rFonts w:cstheme="minorHAnsi"/>
        </w:rPr>
        <w:t>regulation</w:t>
      </w:r>
      <w:r w:rsidRPr="007B1FC4">
        <w:rPr>
          <w:rFonts w:cstheme="minorHAnsi"/>
        </w:rPr>
        <w:t xml:space="preserve"> scheme. Many stakeholders commented that the natural extension of whichever body was responsible for the worker screening element</w:t>
      </w:r>
      <w:r w:rsidR="00DC6D26" w:rsidRPr="007B1FC4">
        <w:rPr>
          <w:rFonts w:cstheme="minorHAnsi"/>
        </w:rPr>
        <w:t xml:space="preserve"> (</w:t>
      </w:r>
      <w:r w:rsidRPr="007B1FC4">
        <w:rPr>
          <w:rFonts w:cstheme="minorHAnsi"/>
        </w:rPr>
        <w:t>including the monitoring of workers against a code of conduct</w:t>
      </w:r>
      <w:r w:rsidR="00DC6D26" w:rsidRPr="007B1FC4">
        <w:rPr>
          <w:rFonts w:cstheme="minorHAnsi"/>
        </w:rPr>
        <w:t>) c</w:t>
      </w:r>
      <w:r w:rsidRPr="007B1FC4">
        <w:rPr>
          <w:rFonts w:cstheme="minorHAnsi"/>
        </w:rPr>
        <w:t xml:space="preserve">ould </w:t>
      </w:r>
      <w:r w:rsidR="00DC6D26" w:rsidRPr="007B1FC4">
        <w:rPr>
          <w:rFonts w:cstheme="minorHAnsi"/>
        </w:rPr>
        <w:t>also be the body to monitor</w:t>
      </w:r>
      <w:r w:rsidRPr="007B1FC4">
        <w:rPr>
          <w:rFonts w:cstheme="minorHAnsi"/>
        </w:rPr>
        <w:t xml:space="preserve"> registration if it were to be mandated. </w:t>
      </w:r>
    </w:p>
    <w:p w14:paraId="6C69B9CF" w14:textId="2F0A37EE" w:rsidR="00CA0E74" w:rsidRPr="007B1FC4" w:rsidRDefault="00CA0E74" w:rsidP="007C36E4">
      <w:pPr>
        <w:pStyle w:val="mpcNormal"/>
        <w:spacing w:after="0"/>
        <w:rPr>
          <w:rFonts w:cstheme="minorHAnsi"/>
        </w:rPr>
      </w:pPr>
    </w:p>
    <w:p w14:paraId="4239ECC1" w14:textId="36E1FD4F" w:rsidR="00B210E6" w:rsidRPr="007B1FC4" w:rsidRDefault="00CA0E74" w:rsidP="007C36E4">
      <w:pPr>
        <w:pStyle w:val="mpcNormal"/>
        <w:spacing w:after="0"/>
        <w:rPr>
          <w:rFonts w:cstheme="minorHAnsi"/>
        </w:rPr>
      </w:pPr>
      <w:r w:rsidRPr="007B1FC4">
        <w:rPr>
          <w:rFonts w:cstheme="minorHAnsi"/>
        </w:rPr>
        <w:t>In practice, this would see the functions of the national body</w:t>
      </w:r>
      <w:r w:rsidR="007B1FC4" w:rsidRPr="007B1FC4">
        <w:rPr>
          <w:rFonts w:cstheme="minorHAnsi"/>
        </w:rPr>
        <w:t xml:space="preserve"> selected</w:t>
      </w:r>
      <w:r w:rsidRPr="007B1FC4">
        <w:rPr>
          <w:rFonts w:cstheme="minorHAnsi"/>
        </w:rPr>
        <w:t xml:space="preserve"> to </w:t>
      </w:r>
      <w:r w:rsidR="001932E9" w:rsidRPr="007B1FC4">
        <w:rPr>
          <w:rFonts w:cstheme="minorHAnsi"/>
        </w:rPr>
        <w:t>administer and oversee</w:t>
      </w:r>
      <w:r w:rsidRPr="007B1FC4">
        <w:rPr>
          <w:rFonts w:cstheme="minorHAnsi"/>
        </w:rPr>
        <w:t xml:space="preserve"> registration standards that involve not only criminal and suitability screening, but also minimum qualifications, </w:t>
      </w:r>
      <w:r w:rsidR="001932E9" w:rsidRPr="007B1FC4">
        <w:rPr>
          <w:rFonts w:cstheme="minorHAnsi"/>
        </w:rPr>
        <w:t xml:space="preserve">CPD and </w:t>
      </w:r>
      <w:r w:rsidRPr="007B1FC4">
        <w:rPr>
          <w:rFonts w:cstheme="minorHAnsi"/>
        </w:rPr>
        <w:t>English proficiency</w:t>
      </w:r>
      <w:r w:rsidR="001932E9" w:rsidRPr="007B1FC4">
        <w:rPr>
          <w:rFonts w:cstheme="minorHAnsi"/>
        </w:rPr>
        <w:t xml:space="preserve"> requirements.</w:t>
      </w:r>
    </w:p>
    <w:p w14:paraId="0426F5BF" w14:textId="77777777" w:rsidR="00B210E6" w:rsidRPr="007B1FC4" w:rsidRDefault="00B210E6" w:rsidP="007C36E4">
      <w:pPr>
        <w:pStyle w:val="mpcNormal"/>
        <w:spacing w:after="0"/>
        <w:rPr>
          <w:rFonts w:cstheme="minorHAnsi"/>
        </w:rPr>
      </w:pPr>
    </w:p>
    <w:p w14:paraId="6A42C3EF" w14:textId="1A97CCF9" w:rsidR="00B210E6" w:rsidRPr="007B1FC4" w:rsidRDefault="00B210E6" w:rsidP="007C36E4">
      <w:pPr>
        <w:pStyle w:val="mpcNormal"/>
        <w:spacing w:after="0"/>
        <w:rPr>
          <w:rFonts w:cstheme="minorHAnsi"/>
        </w:rPr>
      </w:pPr>
      <w:r w:rsidRPr="007B1FC4">
        <w:rPr>
          <w:rFonts w:cstheme="minorHAnsi"/>
        </w:rPr>
        <w:t xml:space="preserve">Given that a national body may also oversee compliance with the code of conduct and manage complaints, </w:t>
      </w:r>
      <w:r w:rsidR="00A51A5F">
        <w:rPr>
          <w:rFonts w:cstheme="minorHAnsi"/>
        </w:rPr>
        <w:t xml:space="preserve">stakeholders saw </w:t>
      </w:r>
      <w:r w:rsidRPr="007B1FC4">
        <w:rPr>
          <w:rFonts w:cstheme="minorHAnsi"/>
        </w:rPr>
        <w:t xml:space="preserve">advantages to this function sitting with the one body; in particular, so that complaints that go to requirements of the registration standard can be assessed and fed back into the suitability assessment of a worker. </w:t>
      </w:r>
    </w:p>
    <w:p w14:paraId="64504811" w14:textId="77777777" w:rsidR="00D708F0" w:rsidRDefault="00D708F0" w:rsidP="007C36E4">
      <w:pPr>
        <w:pStyle w:val="mpcNormal"/>
        <w:spacing w:after="0"/>
        <w:rPr>
          <w:rFonts w:cstheme="minorHAnsi"/>
        </w:rPr>
      </w:pPr>
    </w:p>
    <w:p w14:paraId="76E990DC" w14:textId="026EDC7C" w:rsidR="00D708F0" w:rsidRPr="000645B4" w:rsidRDefault="001932E9" w:rsidP="007C36E4">
      <w:pPr>
        <w:pStyle w:val="mpcNormal"/>
        <w:spacing w:after="0"/>
        <w:rPr>
          <w:rFonts w:cstheme="minorHAnsi"/>
          <w:b/>
          <w:bCs/>
        </w:rPr>
      </w:pPr>
      <w:r>
        <w:rPr>
          <w:rFonts w:cstheme="minorHAnsi"/>
          <w:b/>
          <w:bCs/>
        </w:rPr>
        <w:t xml:space="preserve">National board under the </w:t>
      </w:r>
      <w:r w:rsidR="00D708F0" w:rsidRPr="000645B4">
        <w:rPr>
          <w:rFonts w:cstheme="minorHAnsi"/>
          <w:b/>
          <w:bCs/>
        </w:rPr>
        <w:t>National Scheme</w:t>
      </w:r>
    </w:p>
    <w:p w14:paraId="79673C35" w14:textId="77777777" w:rsidR="00D708F0" w:rsidRPr="00A26CA7" w:rsidRDefault="00D708F0" w:rsidP="007C36E4">
      <w:pPr>
        <w:pStyle w:val="mpcNormal"/>
        <w:spacing w:after="0"/>
        <w:rPr>
          <w:rFonts w:cstheme="minorHAnsi"/>
        </w:rPr>
      </w:pPr>
    </w:p>
    <w:p w14:paraId="087DB9DD" w14:textId="027B089E" w:rsidR="00D708F0" w:rsidRPr="00A26CA7" w:rsidRDefault="00D708F0" w:rsidP="007C36E4">
      <w:pPr>
        <w:pStyle w:val="mpcNormal"/>
        <w:spacing w:after="0"/>
        <w:rPr>
          <w:rFonts w:cstheme="minorHAnsi"/>
        </w:rPr>
      </w:pPr>
      <w:r w:rsidRPr="00A26CA7">
        <w:rPr>
          <w:rFonts w:cstheme="minorHAnsi"/>
        </w:rPr>
        <w:t xml:space="preserve">In relation to adopting the </w:t>
      </w:r>
      <w:r w:rsidR="001932E9">
        <w:rPr>
          <w:rFonts w:cstheme="minorHAnsi"/>
        </w:rPr>
        <w:t>National Scheme</w:t>
      </w:r>
      <w:r w:rsidR="001932E9" w:rsidRPr="00A26CA7">
        <w:rPr>
          <w:rFonts w:cstheme="minorHAnsi"/>
        </w:rPr>
        <w:t xml:space="preserve"> </w:t>
      </w:r>
      <w:r w:rsidR="001932E9">
        <w:rPr>
          <w:rFonts w:cstheme="minorHAnsi"/>
        </w:rPr>
        <w:t>model</w:t>
      </w:r>
      <w:r w:rsidRPr="00A26CA7">
        <w:rPr>
          <w:rFonts w:cstheme="minorHAnsi"/>
        </w:rPr>
        <w:t xml:space="preserve"> </w:t>
      </w:r>
      <w:r w:rsidR="004C6D1C">
        <w:rPr>
          <w:rFonts w:cstheme="minorHAnsi"/>
        </w:rPr>
        <w:t>for</w:t>
      </w:r>
      <w:r w:rsidR="004C6D1C" w:rsidRPr="00A26CA7">
        <w:rPr>
          <w:rFonts w:cstheme="minorHAnsi"/>
        </w:rPr>
        <w:t xml:space="preserve"> </w:t>
      </w:r>
      <w:r w:rsidRPr="00A26CA7">
        <w:rPr>
          <w:rFonts w:cstheme="minorHAnsi"/>
        </w:rPr>
        <w:t xml:space="preserve">registration, stakeholders noted the following advantages: </w:t>
      </w:r>
    </w:p>
    <w:p w14:paraId="5A500975" w14:textId="77777777" w:rsidR="00D708F0" w:rsidRPr="00A26CA7" w:rsidRDefault="00D708F0" w:rsidP="007C36E4">
      <w:pPr>
        <w:pStyle w:val="mpcNormal"/>
        <w:spacing w:after="0"/>
        <w:rPr>
          <w:rFonts w:cstheme="minorHAnsi"/>
        </w:rPr>
      </w:pPr>
    </w:p>
    <w:p w14:paraId="4F10F2B0" w14:textId="1ADCCDDA" w:rsidR="00B27B17" w:rsidRPr="00D44E9A" w:rsidRDefault="00D708F0" w:rsidP="007C36E4">
      <w:pPr>
        <w:pStyle w:val="mpcbullets1"/>
        <w:rPr>
          <w:rFonts w:cstheme="minorHAnsi"/>
        </w:rPr>
      </w:pPr>
      <w:r w:rsidRPr="00A26CA7">
        <w:rPr>
          <w:rFonts w:cstheme="minorHAnsi"/>
        </w:rPr>
        <w:t xml:space="preserve">the existing accreditation aspects of </w:t>
      </w:r>
      <w:r w:rsidR="001932E9">
        <w:rPr>
          <w:rFonts w:cstheme="minorHAnsi"/>
        </w:rPr>
        <w:t>the National Scheme</w:t>
      </w:r>
      <w:r w:rsidRPr="00A26CA7">
        <w:rPr>
          <w:rFonts w:cstheme="minorHAnsi"/>
        </w:rPr>
        <w:t xml:space="preserve"> in identifying equivalent and appropriate levels of training, noting that the specific aged care qualifications would need to be reviewed </w:t>
      </w:r>
    </w:p>
    <w:p w14:paraId="701A77FD" w14:textId="45064B0C" w:rsidR="00B27B17" w:rsidRPr="00D44E9A" w:rsidRDefault="00D708F0" w:rsidP="007C36E4">
      <w:pPr>
        <w:pStyle w:val="mpcbullets1"/>
        <w:rPr>
          <w:rFonts w:cstheme="minorHAnsi"/>
        </w:rPr>
      </w:pPr>
      <w:r w:rsidRPr="00A26CA7">
        <w:rPr>
          <w:rFonts w:cstheme="minorHAnsi"/>
        </w:rPr>
        <w:t>the ability to draw on the existing registration standards</w:t>
      </w:r>
      <w:r>
        <w:rPr>
          <w:rFonts w:cstheme="minorHAnsi"/>
        </w:rPr>
        <w:t xml:space="preserve"> </w:t>
      </w:r>
      <w:r w:rsidR="001932E9" w:rsidRPr="001932E9">
        <w:rPr>
          <w:rFonts w:cstheme="minorHAnsi"/>
        </w:rPr>
        <w:t>from similar national boards (</w:t>
      </w:r>
      <w:r w:rsidR="00404B34">
        <w:rPr>
          <w:rFonts w:cstheme="minorHAnsi"/>
        </w:rPr>
        <w:t>e.g.</w:t>
      </w:r>
      <w:r w:rsidR="001932E9" w:rsidRPr="001932E9">
        <w:rPr>
          <w:rFonts w:cstheme="minorHAnsi"/>
        </w:rPr>
        <w:t xml:space="preserve">, the Nursing and Midwifery Board of Australia) </w:t>
      </w:r>
      <w:r w:rsidRPr="00A26CA7">
        <w:rPr>
          <w:rFonts w:cstheme="minorHAnsi"/>
        </w:rPr>
        <w:t>in designing appropriate standards for PCWs</w:t>
      </w:r>
    </w:p>
    <w:p w14:paraId="60289B26" w14:textId="431071E5" w:rsidR="00B27B17" w:rsidRPr="00D44E9A" w:rsidRDefault="00D708F0" w:rsidP="007C36E4">
      <w:pPr>
        <w:pStyle w:val="mpcbullets1"/>
        <w:rPr>
          <w:rFonts w:cstheme="minorHAnsi"/>
        </w:rPr>
      </w:pPr>
      <w:r w:rsidRPr="00A26CA7">
        <w:rPr>
          <w:rFonts w:cstheme="minorHAnsi"/>
        </w:rPr>
        <w:t xml:space="preserve">the possibility </w:t>
      </w:r>
      <w:r>
        <w:rPr>
          <w:rFonts w:cstheme="minorHAnsi"/>
        </w:rPr>
        <w:t>of</w:t>
      </w:r>
      <w:r w:rsidRPr="00A26CA7">
        <w:rPr>
          <w:rFonts w:cstheme="minorHAnsi"/>
        </w:rPr>
        <w:t xml:space="preserve"> aligning the work of PCWs with that of RNs and ENs</w:t>
      </w:r>
      <w:r>
        <w:rPr>
          <w:rFonts w:cstheme="minorHAnsi"/>
        </w:rPr>
        <w:t xml:space="preserve">, </w:t>
      </w:r>
      <w:r w:rsidRPr="00A26CA7">
        <w:rPr>
          <w:rFonts w:cstheme="minorHAnsi"/>
        </w:rPr>
        <w:t>noting that many stakeholders, particularly community members, referred to PCWs as providing ‘nursing care’ under delegation from RNs and ENs</w:t>
      </w:r>
    </w:p>
    <w:p w14:paraId="53D43B15" w14:textId="4D01DAD6" w:rsidR="00B27B17" w:rsidRPr="00D44E9A" w:rsidRDefault="00D708F0" w:rsidP="007C36E4">
      <w:pPr>
        <w:pStyle w:val="mpcbullets1"/>
        <w:rPr>
          <w:rFonts w:cstheme="minorHAnsi"/>
        </w:rPr>
      </w:pPr>
      <w:r w:rsidRPr="00A26CA7">
        <w:rPr>
          <w:rFonts w:cstheme="minorHAnsi"/>
        </w:rPr>
        <w:t xml:space="preserve">the benefit of introducing PCWs to pathways to becoming ENs and RNs and early acquaintance with the </w:t>
      </w:r>
      <w:r w:rsidR="001932E9">
        <w:rPr>
          <w:rFonts w:cstheme="minorHAnsi"/>
        </w:rPr>
        <w:t>National Scheme</w:t>
      </w:r>
      <w:r w:rsidRPr="00A26CA7">
        <w:rPr>
          <w:rFonts w:cstheme="minorHAnsi"/>
        </w:rPr>
        <w:t xml:space="preserve"> approach  </w:t>
      </w:r>
    </w:p>
    <w:p w14:paraId="57BD0EF6" w14:textId="50545542" w:rsidR="00B27B17" w:rsidRPr="00D44E9A" w:rsidRDefault="00D708F0" w:rsidP="007C36E4">
      <w:pPr>
        <w:pStyle w:val="mpcbullets1"/>
        <w:rPr>
          <w:rFonts w:cstheme="minorHAnsi"/>
        </w:rPr>
      </w:pPr>
      <w:r w:rsidRPr="00A26CA7">
        <w:rPr>
          <w:rFonts w:cstheme="minorHAnsi"/>
        </w:rPr>
        <w:t>that it could increase competition and wages for PCWs</w:t>
      </w:r>
    </w:p>
    <w:p w14:paraId="395C2700" w14:textId="0FEB7A3C" w:rsidR="00D708F0" w:rsidRPr="00A26CA7" w:rsidRDefault="001932E9" w:rsidP="007C36E4">
      <w:pPr>
        <w:pStyle w:val="mpcbullets1"/>
        <w:rPr>
          <w:rFonts w:cstheme="minorHAnsi"/>
        </w:rPr>
      </w:pPr>
      <w:r>
        <w:rPr>
          <w:rFonts w:cstheme="minorHAnsi"/>
        </w:rPr>
        <w:t>the National Scheme</w:t>
      </w:r>
      <w:r w:rsidR="00D708F0" w:rsidRPr="00A26CA7">
        <w:rPr>
          <w:rFonts w:cstheme="minorHAnsi"/>
        </w:rPr>
        <w:t xml:space="preserve"> already has the infrastructure for a positive and negative public register. </w:t>
      </w:r>
    </w:p>
    <w:p w14:paraId="1F50F961" w14:textId="77777777" w:rsidR="00D708F0" w:rsidRPr="00A26CA7" w:rsidRDefault="00D708F0" w:rsidP="007C36E4">
      <w:pPr>
        <w:pStyle w:val="mpcNormal"/>
        <w:spacing w:after="0"/>
        <w:rPr>
          <w:rFonts w:cstheme="minorHAnsi"/>
        </w:rPr>
      </w:pPr>
    </w:p>
    <w:p w14:paraId="007BB192" w14:textId="51B83A91" w:rsidR="00D708F0" w:rsidRPr="00A26CA7" w:rsidRDefault="00D708F0" w:rsidP="007C36E4">
      <w:pPr>
        <w:pStyle w:val="mpcNormal"/>
        <w:spacing w:after="0"/>
        <w:rPr>
          <w:rFonts w:cstheme="minorHAnsi"/>
        </w:rPr>
      </w:pPr>
      <w:r w:rsidRPr="00A26CA7">
        <w:rPr>
          <w:rFonts w:cstheme="minorHAnsi"/>
        </w:rPr>
        <w:t>Howeve</w:t>
      </w:r>
      <w:r>
        <w:rPr>
          <w:rFonts w:cstheme="minorHAnsi"/>
        </w:rPr>
        <w:t>r</w:t>
      </w:r>
      <w:r w:rsidRPr="00A26CA7">
        <w:rPr>
          <w:rFonts w:cstheme="minorHAnsi"/>
        </w:rPr>
        <w:t>, stakeholders</w:t>
      </w:r>
      <w:r>
        <w:rPr>
          <w:rFonts w:cstheme="minorHAnsi"/>
        </w:rPr>
        <w:t xml:space="preserve"> also</w:t>
      </w:r>
      <w:r w:rsidRPr="00A26CA7">
        <w:rPr>
          <w:rFonts w:cstheme="minorHAnsi"/>
        </w:rPr>
        <w:t xml:space="preserve"> identified the following limitations of the </w:t>
      </w:r>
      <w:r w:rsidR="00557535">
        <w:rPr>
          <w:rFonts w:cstheme="minorHAnsi"/>
        </w:rPr>
        <w:t>National Scheme</w:t>
      </w:r>
      <w:r w:rsidRPr="00A26CA7">
        <w:rPr>
          <w:rFonts w:cstheme="minorHAnsi"/>
        </w:rPr>
        <w:t xml:space="preserve"> approach: </w:t>
      </w:r>
    </w:p>
    <w:p w14:paraId="2457CB6A" w14:textId="77777777" w:rsidR="00D708F0" w:rsidRPr="00A26CA7" w:rsidRDefault="00D708F0" w:rsidP="007C36E4"/>
    <w:p w14:paraId="57235CC7" w14:textId="0C270928" w:rsidR="00D708F0" w:rsidRPr="00A26CA7" w:rsidRDefault="00D708F0" w:rsidP="007C36E4">
      <w:pPr>
        <w:pStyle w:val="mpcbullets1"/>
        <w:ind w:hanging="357"/>
        <w:rPr>
          <w:rFonts w:cstheme="minorHAnsi"/>
        </w:rPr>
      </w:pPr>
      <w:r w:rsidRPr="00A26CA7">
        <w:rPr>
          <w:rFonts w:cstheme="minorHAnsi"/>
        </w:rPr>
        <w:t xml:space="preserve">if a national board </w:t>
      </w:r>
      <w:r w:rsidR="00557535">
        <w:rPr>
          <w:rFonts w:cstheme="minorHAnsi"/>
        </w:rPr>
        <w:t>was</w:t>
      </w:r>
      <w:r w:rsidRPr="00A26CA7">
        <w:rPr>
          <w:rFonts w:cstheme="minorHAnsi"/>
        </w:rPr>
        <w:t xml:space="preserve"> set up specific to PCW</w:t>
      </w:r>
      <w:r w:rsidR="007741ED">
        <w:rPr>
          <w:rFonts w:cstheme="minorHAnsi"/>
        </w:rPr>
        <w:t>s</w:t>
      </w:r>
      <w:r w:rsidR="00557535">
        <w:rPr>
          <w:rFonts w:cstheme="minorHAnsi"/>
        </w:rPr>
        <w:t>,</w:t>
      </w:r>
      <w:r w:rsidRPr="00A26CA7">
        <w:rPr>
          <w:rFonts w:cstheme="minorHAnsi"/>
        </w:rPr>
        <w:t xml:space="preserve"> other aged care workers would be excluded </w:t>
      </w:r>
    </w:p>
    <w:p w14:paraId="46C953C7" w14:textId="1D79E74D" w:rsidR="00B27B17" w:rsidRPr="00D44E9A" w:rsidRDefault="00D708F0" w:rsidP="00667D9F">
      <w:pPr>
        <w:pStyle w:val="mpcbullets2"/>
        <w:numPr>
          <w:ilvl w:val="0"/>
          <w:numId w:val="6"/>
        </w:numPr>
        <w:ind w:left="720"/>
        <w:contextualSpacing/>
      </w:pPr>
      <w:r w:rsidRPr="001932E9">
        <w:t xml:space="preserve">If a new national board under the National Scheme was the body responsible for a PCW registration scheme (or the scope of the Nursing and Midwifery Board of Australia was expanded to include PCWs), then the regulation would be limited to PCWs, as defined by their scope of practice, which </w:t>
      </w:r>
      <w:r w:rsidR="002D4723">
        <w:t>may</w:t>
      </w:r>
      <w:r w:rsidR="002D4723" w:rsidRPr="001932E9">
        <w:t xml:space="preserve"> </w:t>
      </w:r>
      <w:r w:rsidRPr="001932E9">
        <w:t>lead both providers and workers to sidestep the definition of a PCW in order to avoid regulation.</w:t>
      </w:r>
    </w:p>
    <w:p w14:paraId="31882505" w14:textId="0BF33628" w:rsidR="00CF788C" w:rsidRDefault="00D708F0" w:rsidP="00CF788C">
      <w:pPr>
        <w:pStyle w:val="mpcbullets1"/>
        <w:ind w:hanging="357"/>
        <w:rPr>
          <w:rFonts w:cstheme="minorHAnsi"/>
        </w:rPr>
      </w:pPr>
      <w:r w:rsidRPr="00A26CA7">
        <w:rPr>
          <w:rFonts w:cstheme="minorHAnsi"/>
        </w:rPr>
        <w:lastRenderedPageBreak/>
        <w:t xml:space="preserve">the </w:t>
      </w:r>
      <w:r w:rsidR="007741ED">
        <w:rPr>
          <w:rFonts w:cstheme="minorHAnsi"/>
        </w:rPr>
        <w:t>significant</w:t>
      </w:r>
      <w:r w:rsidRPr="00A26CA7">
        <w:rPr>
          <w:rFonts w:cstheme="minorHAnsi"/>
        </w:rPr>
        <w:t xml:space="preserve"> costs of registration</w:t>
      </w:r>
      <w:r w:rsidR="00313297">
        <w:rPr>
          <w:rFonts w:cstheme="minorHAnsi"/>
        </w:rPr>
        <w:t xml:space="preserve"> associated with</w:t>
      </w:r>
      <w:r w:rsidRPr="00A26CA7">
        <w:rPr>
          <w:rFonts w:cstheme="minorHAnsi"/>
        </w:rPr>
        <w:t xml:space="preserve"> </w:t>
      </w:r>
      <w:r w:rsidR="00557535">
        <w:rPr>
          <w:rFonts w:cstheme="minorHAnsi"/>
        </w:rPr>
        <w:t xml:space="preserve">a national board </w:t>
      </w:r>
      <w:r w:rsidRPr="00A26CA7">
        <w:rPr>
          <w:rFonts w:cstheme="minorHAnsi"/>
        </w:rPr>
        <w:t xml:space="preserve">and the potential that </w:t>
      </w:r>
      <w:r w:rsidR="00CF788C">
        <w:rPr>
          <w:rFonts w:cstheme="minorHAnsi"/>
        </w:rPr>
        <w:t>these fees</w:t>
      </w:r>
      <w:r w:rsidR="00CF788C" w:rsidRPr="00A26CA7">
        <w:rPr>
          <w:rFonts w:cstheme="minorHAnsi"/>
        </w:rPr>
        <w:t xml:space="preserve"> </w:t>
      </w:r>
      <w:r w:rsidRPr="00A26CA7">
        <w:rPr>
          <w:rFonts w:cstheme="minorHAnsi"/>
        </w:rPr>
        <w:t xml:space="preserve">would be borne by PCWs </w:t>
      </w:r>
      <w:r w:rsidR="00CF788C">
        <w:rPr>
          <w:rFonts w:cstheme="minorHAnsi"/>
        </w:rPr>
        <w:t>(</w:t>
      </w:r>
      <w:r w:rsidRPr="00A26CA7">
        <w:rPr>
          <w:rFonts w:cstheme="minorHAnsi"/>
        </w:rPr>
        <w:t xml:space="preserve">and </w:t>
      </w:r>
      <w:r w:rsidR="00CF788C">
        <w:rPr>
          <w:rFonts w:cstheme="minorHAnsi"/>
        </w:rPr>
        <w:t xml:space="preserve">potentially </w:t>
      </w:r>
      <w:r w:rsidRPr="00A26CA7">
        <w:rPr>
          <w:rFonts w:cstheme="minorHAnsi"/>
        </w:rPr>
        <w:t>providers</w:t>
      </w:r>
      <w:r w:rsidR="00CF788C">
        <w:rPr>
          <w:rFonts w:cstheme="minorHAnsi"/>
        </w:rPr>
        <w:t>)</w:t>
      </w:r>
      <w:r w:rsidRPr="00A26CA7">
        <w:rPr>
          <w:rFonts w:cstheme="minorHAnsi"/>
        </w:rPr>
        <w:t xml:space="preserve"> without government funding or subsidies</w:t>
      </w:r>
    </w:p>
    <w:p w14:paraId="692BBFB0" w14:textId="0C714FB6" w:rsidR="00B27B17" w:rsidRPr="00D44E9A" w:rsidRDefault="00D708F0" w:rsidP="007C36E4">
      <w:pPr>
        <w:pStyle w:val="mpcbullets1"/>
        <w:rPr>
          <w:rFonts w:cstheme="minorHAnsi"/>
        </w:rPr>
      </w:pPr>
      <w:r w:rsidRPr="00A26CA7">
        <w:rPr>
          <w:rFonts w:cstheme="minorHAnsi"/>
        </w:rPr>
        <w:t>the distinction between clinical care and personal care was flagged by stakeholders who noted that there are distinct skills required by PCWs in comparison to health practitioners</w:t>
      </w:r>
      <w:r w:rsidR="008F3A2F">
        <w:rPr>
          <w:rFonts w:cstheme="minorHAnsi"/>
        </w:rPr>
        <w:t xml:space="preserve">, and </w:t>
      </w:r>
      <w:r w:rsidRPr="008F3A2F">
        <w:rPr>
          <w:rFonts w:cstheme="minorHAnsi"/>
        </w:rPr>
        <w:t xml:space="preserve">that the regulatory operations of </w:t>
      </w:r>
      <w:r w:rsidR="00557535" w:rsidRPr="008F3A2F">
        <w:rPr>
          <w:rFonts w:cstheme="minorHAnsi"/>
        </w:rPr>
        <w:t>the national boards</w:t>
      </w:r>
      <w:r w:rsidRPr="008F3A2F">
        <w:rPr>
          <w:rFonts w:cstheme="minorHAnsi"/>
        </w:rPr>
        <w:t xml:space="preserve"> are expressly designed to support the regulatory functions needed to achieve the objectives </w:t>
      </w:r>
      <w:r w:rsidR="004C6D1C">
        <w:rPr>
          <w:rFonts w:cstheme="minorHAnsi"/>
        </w:rPr>
        <w:t>of</w:t>
      </w:r>
      <w:r w:rsidR="004C6D1C" w:rsidRPr="008F3A2F">
        <w:rPr>
          <w:rFonts w:cstheme="minorHAnsi"/>
        </w:rPr>
        <w:t xml:space="preserve"> </w:t>
      </w:r>
      <w:r w:rsidRPr="008F3A2F">
        <w:rPr>
          <w:rFonts w:cstheme="minorHAnsi"/>
        </w:rPr>
        <w:t xml:space="preserve">the National Scheme for health professions rather than </w:t>
      </w:r>
      <w:r w:rsidR="00B27B17" w:rsidRPr="008F3A2F">
        <w:rPr>
          <w:rFonts w:cstheme="minorHAnsi"/>
        </w:rPr>
        <w:t>another</w:t>
      </w:r>
      <w:r w:rsidRPr="008F3A2F">
        <w:rPr>
          <w:rFonts w:cstheme="minorHAnsi"/>
        </w:rPr>
        <w:t xml:space="preserve"> workforce </w:t>
      </w:r>
    </w:p>
    <w:p w14:paraId="2F63E01E" w14:textId="39F7FA34" w:rsidR="00B27B17" w:rsidRPr="00D44E9A" w:rsidRDefault="00D708F0" w:rsidP="007C36E4">
      <w:pPr>
        <w:pStyle w:val="mpcbullets1"/>
        <w:rPr>
          <w:rFonts w:cstheme="minorHAnsi"/>
        </w:rPr>
      </w:pPr>
      <w:r w:rsidRPr="00A26CA7">
        <w:rPr>
          <w:rFonts w:cstheme="minorHAnsi"/>
        </w:rPr>
        <w:t>that it would be difficult to align the federated system of health regulation with the Commonwealth regulation of aged care</w:t>
      </w:r>
    </w:p>
    <w:p w14:paraId="7F21B3C0" w14:textId="4E65B880" w:rsidR="00D708F0" w:rsidRPr="00273C94" w:rsidRDefault="00D708F0" w:rsidP="007C36E4">
      <w:pPr>
        <w:pStyle w:val="mpcbullets1"/>
        <w:rPr>
          <w:rFonts w:cstheme="minorHAnsi"/>
          <w:i/>
          <w:iCs/>
        </w:rPr>
      </w:pPr>
      <w:r w:rsidRPr="00A26CA7">
        <w:rPr>
          <w:rFonts w:cstheme="minorHAnsi"/>
        </w:rPr>
        <w:t xml:space="preserve">the decision to approve a new profession into the </w:t>
      </w:r>
      <w:r w:rsidR="00557535">
        <w:rPr>
          <w:rFonts w:cstheme="minorHAnsi"/>
        </w:rPr>
        <w:t>National Scheme</w:t>
      </w:r>
      <w:r w:rsidRPr="00A26CA7">
        <w:rPr>
          <w:rFonts w:cstheme="minorHAnsi"/>
        </w:rPr>
        <w:t xml:space="preserve"> is made by the Ministerial Council in accordance with the criteria set out in the </w:t>
      </w:r>
      <w:r w:rsidRPr="00A26CA7">
        <w:rPr>
          <w:rFonts w:cstheme="minorHAnsi"/>
          <w:i/>
          <w:iCs/>
        </w:rPr>
        <w:t xml:space="preserve">Intergovernmental Agreement for a National Registration and Accreditation Scheme for the Health Professions </w:t>
      </w:r>
      <w:r w:rsidRPr="00A26CA7">
        <w:rPr>
          <w:rFonts w:cstheme="minorHAnsi"/>
        </w:rPr>
        <w:t>and as such, would need to be considered in light of these criteria</w:t>
      </w:r>
      <w:r>
        <w:rPr>
          <w:rFonts w:cstheme="minorHAnsi"/>
        </w:rPr>
        <w:t>.</w:t>
      </w:r>
    </w:p>
    <w:p w14:paraId="569F8B9A" w14:textId="77777777" w:rsidR="00287FC7" w:rsidRPr="00273C94" w:rsidRDefault="00287FC7" w:rsidP="00287FC7">
      <w:pPr>
        <w:pStyle w:val="mpcbullets2"/>
      </w:pPr>
      <w:r>
        <w:t>A</w:t>
      </w:r>
      <w:r w:rsidRPr="00273C94">
        <w:t xml:space="preserve">ssuming the sector meets the criteria, there would be an extended timeframe and costs to the implementation as a consequence of the </w:t>
      </w:r>
      <w:r>
        <w:t>National</w:t>
      </w:r>
      <w:r w:rsidRPr="00273C94">
        <w:t xml:space="preserve"> Law being amended to take account of a new protected title, the establishment or expansion of an applicable national board and a full suite of registration standards that would need to be developed. </w:t>
      </w:r>
      <w:r>
        <w:t>I</w:t>
      </w:r>
      <w:r w:rsidRPr="00A26CA7">
        <w:t>n 2016 it was estimated that it would cost about $8.2 million to register an estimated 15,730 professional social workers under the NRAS including the fixed cost of establishing a national board which was estimated to be around $1.4 million.</w:t>
      </w:r>
      <w:r w:rsidRPr="00A26CA7">
        <w:rPr>
          <w:rStyle w:val="FootnoteReference"/>
          <w:rFonts w:cstheme="minorHAnsi"/>
        </w:rPr>
        <w:footnoteReference w:id="29"/>
      </w:r>
    </w:p>
    <w:p w14:paraId="692201E0" w14:textId="544BFBD1" w:rsidR="00D708F0" w:rsidRDefault="00D708F0" w:rsidP="007C36E4">
      <w:pPr>
        <w:pStyle w:val="mpcNormal"/>
        <w:spacing w:after="0"/>
        <w:rPr>
          <w:rFonts w:cstheme="minorHAnsi"/>
        </w:rPr>
      </w:pPr>
    </w:p>
    <w:p w14:paraId="404008CC" w14:textId="7F533017" w:rsidR="00FD671C" w:rsidRDefault="00FD671C" w:rsidP="007C36E4">
      <w:pPr>
        <w:pStyle w:val="mpcbullets1"/>
        <w:numPr>
          <w:ilvl w:val="0"/>
          <w:numId w:val="0"/>
        </w:numPr>
      </w:pPr>
      <w:r>
        <w:t xml:space="preserve">Despite comments about the potential for a national board under the National Scheme to be established, on the whole, it appeared that stakeholders considered that the significant work that would need to be undertaken to progress a national board for PCWs, in addition to the limitations of this approach, meant that other options for managing the registration of PCWs should continue to be explored. </w:t>
      </w:r>
    </w:p>
    <w:p w14:paraId="68E1F9FB" w14:textId="77777777" w:rsidR="00FD671C" w:rsidRDefault="00FD671C" w:rsidP="007C36E4">
      <w:pPr>
        <w:pStyle w:val="mpcNormal"/>
        <w:spacing w:after="0"/>
        <w:rPr>
          <w:rFonts w:cstheme="minorHAnsi"/>
        </w:rPr>
      </w:pPr>
    </w:p>
    <w:p w14:paraId="3B3E53E0" w14:textId="77777777" w:rsidR="00DC6D26" w:rsidRPr="00DC6D26" w:rsidRDefault="00DC6D26" w:rsidP="007C36E4">
      <w:pPr>
        <w:pStyle w:val="mpcNormal"/>
        <w:keepNext/>
        <w:spacing w:after="0"/>
        <w:rPr>
          <w:rFonts w:cstheme="minorHAnsi"/>
          <w:b/>
          <w:bCs/>
        </w:rPr>
      </w:pPr>
      <w:r w:rsidRPr="00DC6D26">
        <w:rPr>
          <w:rFonts w:cstheme="minorHAnsi"/>
          <w:b/>
          <w:bCs/>
        </w:rPr>
        <w:t xml:space="preserve">Registration bodies </w:t>
      </w:r>
    </w:p>
    <w:p w14:paraId="31440A69" w14:textId="77777777" w:rsidR="00DC6D26" w:rsidRPr="00A26CA7" w:rsidRDefault="00DC6D26" w:rsidP="007C36E4">
      <w:pPr>
        <w:pStyle w:val="mpcNormal"/>
        <w:keepNext/>
        <w:spacing w:after="0"/>
        <w:rPr>
          <w:rFonts w:cstheme="minorHAnsi"/>
        </w:rPr>
      </w:pPr>
    </w:p>
    <w:p w14:paraId="58AEDC85" w14:textId="195356A2" w:rsidR="00D708F0" w:rsidRDefault="00AA2420" w:rsidP="007C36E4">
      <w:pPr>
        <w:pStyle w:val="mpcbullets1"/>
        <w:keepNext/>
        <w:numPr>
          <w:ilvl w:val="0"/>
          <w:numId w:val="0"/>
        </w:numPr>
        <w:rPr>
          <w:rFonts w:eastAsia="Times New Roman" w:cstheme="minorHAnsi"/>
          <w:lang w:eastAsia="en-GB"/>
        </w:rPr>
      </w:pPr>
      <w:r>
        <w:rPr>
          <w:rFonts w:cstheme="minorHAnsi"/>
        </w:rPr>
        <w:t>Some s</w:t>
      </w:r>
      <w:r w:rsidR="00D708F0" w:rsidRPr="00A26CA7">
        <w:rPr>
          <w:rFonts w:cstheme="minorHAnsi"/>
        </w:rPr>
        <w:t>takeholders</w:t>
      </w:r>
      <w:r w:rsidR="00256E8F">
        <w:rPr>
          <w:rFonts w:cstheme="minorHAnsi"/>
        </w:rPr>
        <w:t xml:space="preserve"> also</w:t>
      </w:r>
      <w:r w:rsidR="00D708F0" w:rsidRPr="00A26CA7">
        <w:rPr>
          <w:rFonts w:cstheme="minorHAnsi"/>
        </w:rPr>
        <w:t xml:space="preserve"> noted the</w:t>
      </w:r>
      <w:r w:rsidR="002706F0">
        <w:rPr>
          <w:rFonts w:cstheme="minorHAnsi"/>
        </w:rPr>
        <w:t xml:space="preserve"> potential for</w:t>
      </w:r>
      <w:r w:rsidR="00D708F0" w:rsidRPr="00A26CA7">
        <w:rPr>
          <w:rFonts w:cstheme="minorHAnsi"/>
        </w:rPr>
        <w:t xml:space="preserve"> a mandatory requirement for </w:t>
      </w:r>
      <w:r w:rsidR="00B210E6">
        <w:rPr>
          <w:rFonts w:cstheme="minorHAnsi"/>
        </w:rPr>
        <w:t>PCWs</w:t>
      </w:r>
      <w:r w:rsidR="00D708F0" w:rsidRPr="00A26CA7">
        <w:rPr>
          <w:rFonts w:cstheme="minorHAnsi"/>
        </w:rPr>
        <w:t xml:space="preserve"> to be a member of a registration or accreditation body</w:t>
      </w:r>
      <w:r>
        <w:rPr>
          <w:rFonts w:cstheme="minorHAnsi"/>
        </w:rPr>
        <w:t xml:space="preserve">, such as </w:t>
      </w:r>
      <w:r w:rsidR="00D708F0" w:rsidRPr="00A26CA7">
        <w:rPr>
          <w:rFonts w:cstheme="minorHAnsi"/>
        </w:rPr>
        <w:t xml:space="preserve">the </w:t>
      </w:r>
      <w:r w:rsidR="00D708F0" w:rsidRPr="00A26CA7">
        <w:rPr>
          <w:rFonts w:eastAsia="Times New Roman" w:cstheme="minorHAnsi"/>
          <w:lang w:eastAsia="en-GB"/>
        </w:rPr>
        <w:t xml:space="preserve">Australian College of Care Workers </w:t>
      </w:r>
      <w:r w:rsidR="002D4723">
        <w:rPr>
          <w:rFonts w:eastAsia="Times New Roman" w:cstheme="minorHAnsi"/>
          <w:lang w:eastAsia="en-GB"/>
        </w:rPr>
        <w:t>(</w:t>
      </w:r>
      <w:r w:rsidR="00DC6D26">
        <w:rPr>
          <w:rFonts w:eastAsia="Times New Roman" w:cstheme="minorHAnsi"/>
          <w:lang w:eastAsia="en-GB"/>
        </w:rPr>
        <w:t>which</w:t>
      </w:r>
      <w:r w:rsidR="00D708F0" w:rsidRPr="00A26CA7">
        <w:rPr>
          <w:rFonts w:eastAsia="Times New Roman" w:cstheme="minorHAnsi"/>
          <w:lang w:eastAsia="en-GB"/>
        </w:rPr>
        <w:t xml:space="preserve"> has designed its own registration scheme for member workers</w:t>
      </w:r>
      <w:r w:rsidR="002D4723">
        <w:rPr>
          <w:rFonts w:eastAsia="Times New Roman" w:cstheme="minorHAnsi"/>
          <w:lang w:eastAsia="en-GB"/>
        </w:rPr>
        <w:t>)</w:t>
      </w:r>
      <w:r w:rsidR="00D708F0" w:rsidRPr="00A26CA7">
        <w:rPr>
          <w:rFonts w:eastAsia="Times New Roman" w:cstheme="minorHAnsi"/>
          <w:lang w:eastAsia="en-GB"/>
        </w:rPr>
        <w:t>.</w:t>
      </w:r>
      <w:r w:rsidR="00D708F0" w:rsidRPr="00A26CA7">
        <w:rPr>
          <w:rStyle w:val="FootnoteReference"/>
          <w:rFonts w:eastAsia="Times New Roman" w:cstheme="minorHAnsi"/>
          <w:lang w:eastAsia="en-GB"/>
        </w:rPr>
        <w:footnoteReference w:id="30"/>
      </w:r>
      <w:r w:rsidR="00D708F0" w:rsidRPr="00A26CA7">
        <w:rPr>
          <w:rFonts w:eastAsia="Times New Roman" w:cstheme="minorHAnsi"/>
          <w:lang w:eastAsia="en-GB"/>
        </w:rPr>
        <w:t xml:space="preserve"> </w:t>
      </w:r>
    </w:p>
    <w:p w14:paraId="4C5E667A" w14:textId="27B70A67" w:rsidR="00DC6D26" w:rsidRDefault="00DC6D26" w:rsidP="007C36E4">
      <w:pPr>
        <w:pStyle w:val="mpcbullets1"/>
        <w:numPr>
          <w:ilvl w:val="0"/>
          <w:numId w:val="0"/>
        </w:numPr>
        <w:rPr>
          <w:rFonts w:eastAsia="Times New Roman" w:cstheme="minorHAnsi"/>
          <w:lang w:eastAsia="en-GB"/>
        </w:rPr>
      </w:pPr>
    </w:p>
    <w:p w14:paraId="3416D381" w14:textId="454230E2" w:rsidR="00DC6D26" w:rsidRDefault="00851970" w:rsidP="007C36E4">
      <w:pPr>
        <w:pStyle w:val="mpcbullets1"/>
        <w:numPr>
          <w:ilvl w:val="0"/>
          <w:numId w:val="0"/>
        </w:numPr>
        <w:rPr>
          <w:rFonts w:eastAsia="Times New Roman" w:cstheme="minorHAnsi"/>
          <w:lang w:eastAsia="en-GB"/>
        </w:rPr>
      </w:pPr>
      <w:r>
        <w:rPr>
          <w:rFonts w:eastAsia="Times New Roman" w:cstheme="minorHAnsi"/>
          <w:lang w:eastAsia="en-GB"/>
        </w:rPr>
        <w:t>Under this arrangement, a</w:t>
      </w:r>
      <w:r w:rsidR="00DC6D26">
        <w:rPr>
          <w:rFonts w:eastAsia="Times New Roman" w:cstheme="minorHAnsi"/>
          <w:lang w:eastAsia="en-GB"/>
        </w:rPr>
        <w:t xml:space="preserve"> </w:t>
      </w:r>
      <w:r w:rsidR="006D29D2">
        <w:rPr>
          <w:rFonts w:eastAsia="Times New Roman" w:cstheme="minorHAnsi"/>
          <w:lang w:eastAsia="en-GB"/>
        </w:rPr>
        <w:t>single</w:t>
      </w:r>
      <w:r w:rsidR="00B210E6">
        <w:rPr>
          <w:rFonts w:eastAsia="Times New Roman" w:cstheme="minorHAnsi"/>
          <w:lang w:eastAsia="en-GB"/>
        </w:rPr>
        <w:t xml:space="preserve"> registration authority </w:t>
      </w:r>
      <w:r w:rsidR="00AA2420">
        <w:rPr>
          <w:rFonts w:eastAsia="Times New Roman" w:cstheme="minorHAnsi"/>
          <w:lang w:eastAsia="en-GB"/>
        </w:rPr>
        <w:t xml:space="preserve">(either industry or government run) </w:t>
      </w:r>
      <w:r w:rsidR="002D4723">
        <w:rPr>
          <w:rFonts w:eastAsia="Times New Roman" w:cstheme="minorHAnsi"/>
          <w:lang w:eastAsia="en-GB"/>
        </w:rPr>
        <w:t xml:space="preserve">would be created or </w:t>
      </w:r>
      <w:r w:rsidR="001F16E7">
        <w:rPr>
          <w:rFonts w:eastAsia="Times New Roman" w:cstheme="minorHAnsi"/>
          <w:lang w:eastAsia="en-GB"/>
        </w:rPr>
        <w:t xml:space="preserve">specified </w:t>
      </w:r>
      <w:r w:rsidR="002D4723">
        <w:rPr>
          <w:rFonts w:eastAsia="Times New Roman" w:cstheme="minorHAnsi"/>
          <w:lang w:eastAsia="en-GB"/>
        </w:rPr>
        <w:t xml:space="preserve">registration bodies </w:t>
      </w:r>
      <w:r>
        <w:rPr>
          <w:rFonts w:eastAsia="Times New Roman" w:cstheme="minorHAnsi"/>
          <w:lang w:eastAsia="en-GB"/>
        </w:rPr>
        <w:t>would</w:t>
      </w:r>
      <w:r w:rsidR="00B210E6">
        <w:rPr>
          <w:rFonts w:eastAsia="Times New Roman" w:cstheme="minorHAnsi"/>
          <w:lang w:eastAsia="en-GB"/>
        </w:rPr>
        <w:t xml:space="preserve"> </w:t>
      </w:r>
      <w:r w:rsidR="002D4723">
        <w:rPr>
          <w:rFonts w:eastAsia="Times New Roman" w:cstheme="minorHAnsi"/>
          <w:lang w:eastAsia="en-GB"/>
        </w:rPr>
        <w:t xml:space="preserve">be permitted to </w:t>
      </w:r>
      <w:r w:rsidR="00B210E6">
        <w:rPr>
          <w:rFonts w:eastAsia="Times New Roman" w:cstheme="minorHAnsi"/>
          <w:lang w:eastAsia="en-GB"/>
        </w:rPr>
        <w:t>sit separately to the national body overseeing the worker screening scheme</w:t>
      </w:r>
      <w:r>
        <w:rPr>
          <w:rFonts w:eastAsia="Times New Roman" w:cstheme="minorHAnsi"/>
          <w:lang w:eastAsia="en-GB"/>
        </w:rPr>
        <w:t xml:space="preserve">. </w:t>
      </w:r>
      <w:r w:rsidR="002D4723">
        <w:rPr>
          <w:rFonts w:eastAsia="Times New Roman" w:cstheme="minorHAnsi"/>
          <w:lang w:eastAsia="en-GB"/>
        </w:rPr>
        <w:t xml:space="preserve">A </w:t>
      </w:r>
      <w:r>
        <w:rPr>
          <w:rFonts w:eastAsia="Times New Roman" w:cstheme="minorHAnsi"/>
          <w:lang w:eastAsia="en-GB"/>
        </w:rPr>
        <w:t>registration body</w:t>
      </w:r>
      <w:r w:rsidR="006D29D2">
        <w:rPr>
          <w:rFonts w:eastAsia="Times New Roman" w:cstheme="minorHAnsi"/>
          <w:lang w:eastAsia="en-GB"/>
        </w:rPr>
        <w:t xml:space="preserve"> </w:t>
      </w:r>
      <w:r>
        <w:rPr>
          <w:rFonts w:eastAsia="Times New Roman" w:cstheme="minorHAnsi"/>
          <w:lang w:eastAsia="en-GB"/>
        </w:rPr>
        <w:t>would be</w:t>
      </w:r>
      <w:r w:rsidR="006D29D2">
        <w:rPr>
          <w:rFonts w:eastAsia="Times New Roman" w:cstheme="minorHAnsi"/>
          <w:lang w:eastAsia="en-GB"/>
        </w:rPr>
        <w:t xml:space="preserve"> responsible for</w:t>
      </w:r>
      <w:r w:rsidR="00B210E6">
        <w:rPr>
          <w:rFonts w:eastAsia="Times New Roman" w:cstheme="minorHAnsi"/>
          <w:lang w:eastAsia="en-GB"/>
        </w:rPr>
        <w:t xml:space="preserve"> manag</w:t>
      </w:r>
      <w:r w:rsidR="006D29D2">
        <w:rPr>
          <w:rFonts w:eastAsia="Times New Roman" w:cstheme="minorHAnsi"/>
          <w:lang w:eastAsia="en-GB"/>
        </w:rPr>
        <w:t>ing</w:t>
      </w:r>
      <w:r w:rsidR="00B210E6">
        <w:rPr>
          <w:rFonts w:eastAsia="Times New Roman" w:cstheme="minorHAnsi"/>
          <w:lang w:eastAsia="en-GB"/>
        </w:rPr>
        <w:t xml:space="preserve"> the registration of PCWs</w:t>
      </w:r>
      <w:r w:rsidR="006D29D2">
        <w:rPr>
          <w:rFonts w:eastAsia="Times New Roman" w:cstheme="minorHAnsi"/>
          <w:lang w:eastAsia="en-GB"/>
        </w:rPr>
        <w:t xml:space="preserve">, and </w:t>
      </w:r>
      <w:r w:rsidR="00B210E6">
        <w:rPr>
          <w:rFonts w:eastAsia="Times New Roman" w:cstheme="minorHAnsi"/>
          <w:lang w:eastAsia="en-GB"/>
        </w:rPr>
        <w:t>report</w:t>
      </w:r>
      <w:r w:rsidR="006D29D2">
        <w:rPr>
          <w:rFonts w:eastAsia="Times New Roman" w:cstheme="minorHAnsi"/>
          <w:lang w:eastAsia="en-GB"/>
        </w:rPr>
        <w:t>ing outcomes</w:t>
      </w:r>
      <w:r w:rsidR="00B210E6">
        <w:rPr>
          <w:rFonts w:eastAsia="Times New Roman" w:cstheme="minorHAnsi"/>
          <w:lang w:eastAsia="en-GB"/>
        </w:rPr>
        <w:t xml:space="preserve"> to the national body</w:t>
      </w:r>
      <w:r w:rsidR="006D29D2">
        <w:rPr>
          <w:rFonts w:eastAsia="Times New Roman" w:cstheme="minorHAnsi"/>
          <w:lang w:eastAsia="en-GB"/>
        </w:rPr>
        <w:t xml:space="preserve"> for the purposes of flagging any concerns about suitability to</w:t>
      </w:r>
      <w:r>
        <w:rPr>
          <w:rFonts w:eastAsia="Times New Roman" w:cstheme="minorHAnsi"/>
          <w:lang w:eastAsia="en-GB"/>
        </w:rPr>
        <w:t xml:space="preserve"> enter or</w:t>
      </w:r>
      <w:r w:rsidR="006D29D2">
        <w:rPr>
          <w:rFonts w:eastAsia="Times New Roman" w:cstheme="minorHAnsi"/>
          <w:lang w:eastAsia="en-GB"/>
        </w:rPr>
        <w:t xml:space="preserve"> remain in the sector. </w:t>
      </w:r>
    </w:p>
    <w:p w14:paraId="24FEFEFF" w14:textId="6589532D" w:rsidR="00B210E6" w:rsidRDefault="00B210E6" w:rsidP="007C36E4">
      <w:pPr>
        <w:pStyle w:val="mpcbullets1"/>
        <w:numPr>
          <w:ilvl w:val="0"/>
          <w:numId w:val="0"/>
        </w:numPr>
        <w:rPr>
          <w:rFonts w:eastAsia="Times New Roman" w:cstheme="minorHAnsi"/>
          <w:lang w:eastAsia="en-GB"/>
        </w:rPr>
      </w:pPr>
    </w:p>
    <w:p w14:paraId="50DB67A4" w14:textId="339A9BF7" w:rsidR="00B210E6" w:rsidRDefault="00851970" w:rsidP="007C36E4">
      <w:pPr>
        <w:pStyle w:val="mpcbullets1"/>
        <w:numPr>
          <w:ilvl w:val="0"/>
          <w:numId w:val="0"/>
        </w:numPr>
        <w:rPr>
          <w:rFonts w:eastAsia="Times New Roman" w:cstheme="minorHAnsi"/>
          <w:lang w:eastAsia="en-GB"/>
        </w:rPr>
      </w:pPr>
      <w:r>
        <w:rPr>
          <w:rFonts w:eastAsia="Times New Roman" w:cstheme="minorHAnsi"/>
          <w:lang w:eastAsia="en-GB"/>
        </w:rPr>
        <w:t xml:space="preserve">While the advantages and disadvantages of this option were not fully explored, stakeholders expressed some interest in </w:t>
      </w:r>
      <w:r w:rsidR="00B210E6">
        <w:rPr>
          <w:rFonts w:eastAsia="Times New Roman" w:cstheme="minorHAnsi"/>
          <w:lang w:eastAsia="en-GB"/>
        </w:rPr>
        <w:t xml:space="preserve">industry </w:t>
      </w:r>
      <w:r w:rsidR="006D29D2">
        <w:rPr>
          <w:rFonts w:eastAsia="Times New Roman" w:cstheme="minorHAnsi"/>
          <w:lang w:eastAsia="en-GB"/>
        </w:rPr>
        <w:t xml:space="preserve">bodies </w:t>
      </w:r>
      <w:r w:rsidR="00B210E6">
        <w:rPr>
          <w:rFonts w:eastAsia="Times New Roman" w:cstheme="minorHAnsi"/>
          <w:lang w:eastAsia="en-GB"/>
        </w:rPr>
        <w:t>or private organisations</w:t>
      </w:r>
      <w:r w:rsidR="006D29D2">
        <w:rPr>
          <w:rFonts w:eastAsia="Times New Roman" w:cstheme="minorHAnsi"/>
          <w:lang w:eastAsia="en-GB"/>
        </w:rPr>
        <w:t xml:space="preserve"> </w:t>
      </w:r>
      <w:r w:rsidR="004C6D1C">
        <w:rPr>
          <w:rFonts w:eastAsia="Times New Roman" w:cstheme="minorHAnsi"/>
          <w:lang w:eastAsia="en-GB"/>
        </w:rPr>
        <w:t xml:space="preserve">performing a </w:t>
      </w:r>
      <w:r w:rsidR="006D29D2">
        <w:rPr>
          <w:rFonts w:eastAsia="Times New Roman" w:cstheme="minorHAnsi"/>
          <w:lang w:eastAsia="en-GB"/>
        </w:rPr>
        <w:t xml:space="preserve">registration </w:t>
      </w:r>
      <w:r w:rsidR="004C6D1C">
        <w:rPr>
          <w:rFonts w:eastAsia="Times New Roman" w:cstheme="minorHAnsi"/>
          <w:lang w:eastAsia="en-GB"/>
        </w:rPr>
        <w:t>function informed by</w:t>
      </w:r>
      <w:r w:rsidR="00B210E6">
        <w:rPr>
          <w:rFonts w:eastAsia="Times New Roman" w:cstheme="minorHAnsi"/>
          <w:lang w:eastAsia="en-GB"/>
        </w:rPr>
        <w:t xml:space="preserve"> n</w:t>
      </w:r>
      <w:r w:rsidR="00B210E6" w:rsidRPr="00B210E6">
        <w:rPr>
          <w:rFonts w:eastAsia="Times New Roman" w:cstheme="minorHAnsi"/>
          <w:lang w:eastAsia="en-GB"/>
        </w:rPr>
        <w:t xml:space="preserve">ational guidelines </w:t>
      </w:r>
      <w:r w:rsidR="00B210E6">
        <w:rPr>
          <w:rFonts w:eastAsia="Times New Roman" w:cstheme="minorHAnsi"/>
          <w:lang w:eastAsia="en-GB"/>
        </w:rPr>
        <w:t xml:space="preserve">set by government. PCWs would be required to </w:t>
      </w:r>
      <w:r w:rsidR="004C6D1C">
        <w:rPr>
          <w:rFonts w:eastAsia="Times New Roman" w:cstheme="minorHAnsi"/>
          <w:lang w:eastAsia="en-GB"/>
        </w:rPr>
        <w:t>register with</w:t>
      </w:r>
      <w:r w:rsidR="006D29D2">
        <w:rPr>
          <w:rFonts w:eastAsia="Times New Roman" w:cstheme="minorHAnsi"/>
          <w:lang w:eastAsia="en-GB"/>
        </w:rPr>
        <w:t xml:space="preserve"> </w:t>
      </w:r>
      <w:r w:rsidR="002D4723">
        <w:rPr>
          <w:rFonts w:eastAsia="Times New Roman" w:cstheme="minorHAnsi"/>
          <w:lang w:eastAsia="en-GB"/>
        </w:rPr>
        <w:t xml:space="preserve">a </w:t>
      </w:r>
      <w:r>
        <w:rPr>
          <w:rFonts w:eastAsia="Times New Roman" w:cstheme="minorHAnsi"/>
          <w:lang w:eastAsia="en-GB"/>
        </w:rPr>
        <w:t>registration</w:t>
      </w:r>
      <w:r w:rsidR="006D29D2">
        <w:rPr>
          <w:rFonts w:eastAsia="Times New Roman" w:cstheme="minorHAnsi"/>
          <w:lang w:eastAsia="en-GB"/>
        </w:rPr>
        <w:t xml:space="preserve"> </w:t>
      </w:r>
      <w:r w:rsidR="002D4723">
        <w:rPr>
          <w:rFonts w:eastAsia="Times New Roman" w:cstheme="minorHAnsi"/>
          <w:lang w:eastAsia="en-GB"/>
        </w:rPr>
        <w:t xml:space="preserve">body </w:t>
      </w:r>
      <w:r w:rsidR="004C6D1C">
        <w:rPr>
          <w:rFonts w:eastAsia="Times New Roman" w:cstheme="minorHAnsi"/>
          <w:lang w:eastAsia="en-GB"/>
        </w:rPr>
        <w:t>of their choosing.</w:t>
      </w:r>
      <w:r w:rsidR="006D29D2">
        <w:rPr>
          <w:rFonts w:eastAsia="Times New Roman" w:cstheme="minorHAnsi"/>
          <w:lang w:eastAsia="en-GB"/>
        </w:rPr>
        <w:t xml:space="preserve"> </w:t>
      </w:r>
      <w:r w:rsidR="002D4723">
        <w:rPr>
          <w:rFonts w:eastAsia="Times New Roman" w:cstheme="minorHAnsi"/>
          <w:lang w:eastAsia="en-GB"/>
        </w:rPr>
        <w:t xml:space="preserve">A </w:t>
      </w:r>
      <w:r w:rsidR="006D29D2">
        <w:rPr>
          <w:rFonts w:eastAsia="Times New Roman" w:cstheme="minorHAnsi"/>
          <w:lang w:eastAsia="en-GB"/>
        </w:rPr>
        <w:t xml:space="preserve">registration </w:t>
      </w:r>
      <w:r w:rsidR="002D4723">
        <w:rPr>
          <w:rFonts w:eastAsia="Times New Roman" w:cstheme="minorHAnsi"/>
          <w:lang w:eastAsia="en-GB"/>
        </w:rPr>
        <w:t xml:space="preserve">body </w:t>
      </w:r>
      <w:r w:rsidR="006D29D2">
        <w:rPr>
          <w:rFonts w:eastAsia="Times New Roman" w:cstheme="minorHAnsi"/>
          <w:lang w:eastAsia="en-GB"/>
        </w:rPr>
        <w:t xml:space="preserve">would be responsible for </w:t>
      </w:r>
      <w:r w:rsidR="00B210E6" w:rsidRPr="00B210E6">
        <w:rPr>
          <w:rFonts w:eastAsia="Times New Roman" w:cstheme="minorHAnsi"/>
          <w:lang w:eastAsia="en-GB"/>
        </w:rPr>
        <w:t>monitor</w:t>
      </w:r>
      <w:r w:rsidR="006D29D2">
        <w:rPr>
          <w:rFonts w:eastAsia="Times New Roman" w:cstheme="minorHAnsi"/>
          <w:lang w:eastAsia="en-GB"/>
        </w:rPr>
        <w:t>ing</w:t>
      </w:r>
      <w:r w:rsidR="00B210E6" w:rsidRPr="00B210E6">
        <w:rPr>
          <w:rFonts w:eastAsia="Times New Roman" w:cstheme="minorHAnsi"/>
          <w:lang w:eastAsia="en-GB"/>
        </w:rPr>
        <w:t xml:space="preserve"> </w:t>
      </w:r>
      <w:r w:rsidR="006D29D2">
        <w:rPr>
          <w:rFonts w:eastAsia="Times New Roman" w:cstheme="minorHAnsi"/>
          <w:lang w:eastAsia="en-GB"/>
        </w:rPr>
        <w:lastRenderedPageBreak/>
        <w:t xml:space="preserve">member </w:t>
      </w:r>
      <w:r w:rsidR="00B210E6" w:rsidRPr="00B210E6">
        <w:rPr>
          <w:rFonts w:eastAsia="Times New Roman" w:cstheme="minorHAnsi"/>
          <w:lang w:eastAsia="en-GB"/>
        </w:rPr>
        <w:t>compliance against the registration standards</w:t>
      </w:r>
      <w:r w:rsidR="006D29D2">
        <w:rPr>
          <w:rFonts w:eastAsia="Times New Roman" w:cstheme="minorHAnsi"/>
          <w:lang w:eastAsia="en-GB"/>
        </w:rPr>
        <w:t xml:space="preserve"> and reporting to the national body about any concerns or complaints. </w:t>
      </w:r>
    </w:p>
    <w:p w14:paraId="255E4E37" w14:textId="77777777" w:rsidR="007766B3" w:rsidRDefault="007766B3" w:rsidP="007C36E4">
      <w:pPr>
        <w:pStyle w:val="mpcbullets1"/>
        <w:numPr>
          <w:ilvl w:val="0"/>
          <w:numId w:val="0"/>
        </w:numPr>
      </w:pPr>
    </w:p>
    <w:p w14:paraId="291652FE" w14:textId="77777777" w:rsidR="007766B3" w:rsidRDefault="007766B3" w:rsidP="007C36E4">
      <w:pPr>
        <w:pStyle w:val="mpcheading2"/>
        <w:spacing w:after="0"/>
      </w:pPr>
      <w:bookmarkStart w:id="72" w:name="_Toc45868453"/>
      <w:bookmarkStart w:id="73" w:name="_Toc49253258"/>
      <w:r>
        <w:t>Design and implementation considerations</w:t>
      </w:r>
      <w:bookmarkEnd w:id="72"/>
      <w:bookmarkEnd w:id="73"/>
    </w:p>
    <w:p w14:paraId="3A905AA5" w14:textId="77777777" w:rsidR="00D708F0" w:rsidRDefault="00D708F0" w:rsidP="007C36E4">
      <w:pPr>
        <w:pStyle w:val="mpcNormal"/>
        <w:spacing w:after="0"/>
        <w:rPr>
          <w:color w:val="FF0000"/>
        </w:rPr>
      </w:pPr>
    </w:p>
    <w:p w14:paraId="4FF0A197" w14:textId="4D5E1D49" w:rsidR="000278A6" w:rsidRDefault="000278A6" w:rsidP="007C36E4">
      <w:pPr>
        <w:pStyle w:val="mpcbullets1"/>
        <w:numPr>
          <w:ilvl w:val="0"/>
          <w:numId w:val="0"/>
        </w:numPr>
        <w:rPr>
          <w:rFonts w:eastAsia="Times New Roman" w:cstheme="minorHAnsi"/>
          <w:lang w:eastAsia="en-GB"/>
        </w:rPr>
      </w:pPr>
      <w:r>
        <w:rPr>
          <w:rFonts w:eastAsia="Times New Roman" w:cstheme="minorHAnsi"/>
          <w:lang w:eastAsia="en-GB"/>
        </w:rPr>
        <w:t xml:space="preserve">Given that the focus of the Consultation Paper was on the conceptual issue of whether there should be a registration scheme and, if so, its features, rather than who should manage a registration scheme, further consideration is needed regarding the appropriate body to manage </w:t>
      </w:r>
      <w:r w:rsidR="00E83362">
        <w:rPr>
          <w:rFonts w:eastAsia="Times New Roman" w:cstheme="minorHAnsi"/>
          <w:lang w:eastAsia="en-GB"/>
        </w:rPr>
        <w:t xml:space="preserve">registration </w:t>
      </w:r>
      <w:r w:rsidR="00D032BE">
        <w:rPr>
          <w:rFonts w:eastAsia="Times New Roman" w:cstheme="minorHAnsi"/>
          <w:lang w:eastAsia="en-GB"/>
        </w:rPr>
        <w:t>(noting that this will be</w:t>
      </w:r>
      <w:r w:rsidR="00E83362">
        <w:rPr>
          <w:rFonts w:eastAsia="Times New Roman" w:cstheme="minorHAnsi"/>
          <w:lang w:eastAsia="en-GB"/>
        </w:rPr>
        <w:t xml:space="preserve"> significantly</w:t>
      </w:r>
      <w:r w:rsidR="00D032BE">
        <w:rPr>
          <w:rFonts w:eastAsia="Times New Roman" w:cstheme="minorHAnsi"/>
          <w:lang w:eastAsia="en-GB"/>
        </w:rPr>
        <w:t xml:space="preserve"> influenced by</w:t>
      </w:r>
      <w:r w:rsidR="00FD671C">
        <w:rPr>
          <w:rFonts w:eastAsia="Times New Roman" w:cstheme="minorHAnsi"/>
          <w:lang w:eastAsia="en-GB"/>
        </w:rPr>
        <w:t xml:space="preserve"> the question of</w:t>
      </w:r>
      <w:r w:rsidR="00D032BE">
        <w:rPr>
          <w:rFonts w:eastAsia="Times New Roman" w:cstheme="minorHAnsi"/>
          <w:lang w:eastAsia="en-GB"/>
        </w:rPr>
        <w:t xml:space="preserve"> who will manage worker screening)</w:t>
      </w:r>
      <w:r>
        <w:rPr>
          <w:rFonts w:eastAsia="Times New Roman" w:cstheme="minorHAnsi"/>
          <w:lang w:eastAsia="en-GB"/>
        </w:rPr>
        <w:t xml:space="preserve">. </w:t>
      </w:r>
    </w:p>
    <w:p w14:paraId="045870EB" w14:textId="77777777" w:rsidR="000278A6" w:rsidRDefault="000278A6" w:rsidP="007C36E4">
      <w:pPr>
        <w:pStyle w:val="mpcNormal"/>
        <w:spacing w:after="0"/>
      </w:pPr>
    </w:p>
    <w:p w14:paraId="279BA32A" w14:textId="2B641108" w:rsidR="007F6AE9" w:rsidRPr="009D15AC" w:rsidRDefault="000278A6" w:rsidP="007C36E4">
      <w:pPr>
        <w:pStyle w:val="mpcNormal"/>
        <w:spacing w:after="0"/>
      </w:pPr>
      <w:r>
        <w:t>Specifically</w:t>
      </w:r>
      <w:r w:rsidR="007F6AE9" w:rsidRPr="009D15AC">
        <w:t xml:space="preserve">, </w:t>
      </w:r>
      <w:r w:rsidR="00CA0E74">
        <w:t>stakeholders noted</w:t>
      </w:r>
      <w:r>
        <w:t xml:space="preserve"> that</w:t>
      </w:r>
      <w:r w:rsidR="00CA0E74">
        <w:t xml:space="preserve"> </w:t>
      </w:r>
      <w:r w:rsidR="007F6AE9" w:rsidRPr="009D15AC">
        <w:t xml:space="preserve">further consideration will be required in relation to: </w:t>
      </w:r>
    </w:p>
    <w:p w14:paraId="18CF3B0E" w14:textId="77777777" w:rsidR="007F6AE9" w:rsidRPr="009D15AC" w:rsidRDefault="007F6AE9" w:rsidP="007C36E4">
      <w:pPr>
        <w:pStyle w:val="mpcNormal"/>
        <w:spacing w:after="0"/>
      </w:pPr>
    </w:p>
    <w:p w14:paraId="64DBFB65" w14:textId="3191734B" w:rsidR="008F3A2F" w:rsidRDefault="007F6AE9" w:rsidP="007C36E4">
      <w:pPr>
        <w:pStyle w:val="mpcbullets1"/>
        <w:contextualSpacing/>
      </w:pPr>
      <w:r w:rsidRPr="009D15AC">
        <w:t xml:space="preserve">when registration </w:t>
      </w:r>
      <w:r w:rsidR="0099135E">
        <w:t xml:space="preserve">would </w:t>
      </w:r>
      <w:r w:rsidRPr="009D15AC">
        <w:t xml:space="preserve">be introduced (as compared to </w:t>
      </w:r>
      <w:r w:rsidR="000278A6">
        <w:t>the</w:t>
      </w:r>
      <w:r w:rsidRPr="009D15AC">
        <w:t xml:space="preserve"> worker screening</w:t>
      </w:r>
      <w:r w:rsidR="000278A6">
        <w:t xml:space="preserve"> component of the</w:t>
      </w:r>
      <w:r w:rsidRPr="009D15AC">
        <w:t xml:space="preserve"> scheme) </w:t>
      </w:r>
    </w:p>
    <w:p w14:paraId="7D0DABCB" w14:textId="4B7B682C" w:rsidR="008F3A2F" w:rsidRDefault="007F6AE9" w:rsidP="007C36E4">
      <w:pPr>
        <w:pStyle w:val="mpcbullets1"/>
        <w:contextualSpacing/>
      </w:pPr>
      <w:r>
        <w:t>the progress and outcomes of other reviews and initiatives</w:t>
      </w:r>
      <w:r w:rsidR="00404B34">
        <w:t xml:space="preserve"> (e.g. </w:t>
      </w:r>
      <w:r w:rsidR="00CA0E74" w:rsidRPr="00A26CA7">
        <w:rPr>
          <w:rFonts w:cstheme="minorHAnsi"/>
        </w:rPr>
        <w:t>by the Aged Care Workforce Industry Council</w:t>
      </w:r>
      <w:r w:rsidR="00404B34">
        <w:t>) i</w:t>
      </w:r>
      <w:r>
        <w:t>n relation to improving qualifications, skills and competencies in the aged care sector that may resolve the need for a registration scheme</w:t>
      </w:r>
    </w:p>
    <w:p w14:paraId="5117E81B" w14:textId="1799F2B9" w:rsidR="008F3A2F" w:rsidRDefault="00CA0E74" w:rsidP="007C36E4">
      <w:pPr>
        <w:pStyle w:val="mpcbullets1"/>
        <w:contextualSpacing/>
      </w:pPr>
      <w:r>
        <w:t xml:space="preserve">whether registration </w:t>
      </w:r>
      <w:r w:rsidR="0099135E">
        <w:t>should</w:t>
      </w:r>
      <w:r>
        <w:t xml:space="preserve"> be mandatory </w:t>
      </w:r>
      <w:r w:rsidR="0099135E">
        <w:t xml:space="preserve">or whether it could commence as a </w:t>
      </w:r>
      <w:r w:rsidR="006D29D2">
        <w:t>voluntary option for PCWs</w:t>
      </w:r>
    </w:p>
    <w:p w14:paraId="374582F5" w14:textId="11449C22" w:rsidR="008F3A2F" w:rsidRPr="00D44E9A" w:rsidRDefault="007F6AE9" w:rsidP="007C36E4">
      <w:pPr>
        <w:pStyle w:val="mpcbullets1"/>
        <w:contextualSpacing/>
      </w:pPr>
      <w:r>
        <w:t xml:space="preserve">the specific requirements of the registration standards </w:t>
      </w:r>
      <w:r w:rsidRPr="009D15AC">
        <w:t>(</w:t>
      </w:r>
      <w:r w:rsidR="00404B34">
        <w:t>e.g.</w:t>
      </w:r>
      <w:r w:rsidRPr="009D15AC">
        <w:t>, what level of English proficiency will be required and how this will be tested)</w:t>
      </w:r>
    </w:p>
    <w:p w14:paraId="0E6E2A38" w14:textId="65E1FB02" w:rsidR="000278A6" w:rsidRDefault="00CA0E74" w:rsidP="007C36E4">
      <w:pPr>
        <w:pStyle w:val="mpcbullets1"/>
        <w:rPr>
          <w:rFonts w:cstheme="minorHAnsi"/>
        </w:rPr>
      </w:pPr>
      <w:r w:rsidRPr="00A26CA7">
        <w:rPr>
          <w:rFonts w:cstheme="minorHAnsi"/>
        </w:rPr>
        <w:t>concerns about the cost of establishing a registration scheme and how costs associated with becoming registered or maintaining registration (e.g. paying for CPD) will be borne</w:t>
      </w:r>
    </w:p>
    <w:p w14:paraId="7DCE7BE3" w14:textId="01DCA257" w:rsidR="002645C6" w:rsidRPr="0055114F" w:rsidRDefault="002645C6" w:rsidP="002645C6">
      <w:pPr>
        <w:pStyle w:val="mpcbullets1"/>
        <w:jc w:val="both"/>
        <w:rPr>
          <w:rFonts w:cstheme="minorHAnsi"/>
        </w:rPr>
      </w:pPr>
      <w:r w:rsidRPr="0055114F">
        <w:rPr>
          <w:rFonts w:cstheme="minorHAnsi"/>
        </w:rPr>
        <w:t>scoping any consequences of introducing</w:t>
      </w:r>
      <w:r>
        <w:rPr>
          <w:rFonts w:cstheme="minorHAnsi"/>
        </w:rPr>
        <w:t xml:space="preserve"> registration requirements for the subset of workers that are PCWs</w:t>
      </w:r>
      <w:r w:rsidRPr="0055114F">
        <w:rPr>
          <w:rFonts w:cstheme="minorHAnsi"/>
        </w:rPr>
        <w:t xml:space="preserve">, for example: </w:t>
      </w:r>
    </w:p>
    <w:p w14:paraId="75739FF5" w14:textId="77777777" w:rsidR="002645C6" w:rsidRPr="0055114F" w:rsidRDefault="002645C6" w:rsidP="002645C6">
      <w:pPr>
        <w:pStyle w:val="mpcbullets2"/>
        <w:ind w:hanging="357"/>
        <w:jc w:val="both"/>
        <w:rPr>
          <w:rFonts w:cstheme="minorHAnsi"/>
        </w:rPr>
      </w:pPr>
      <w:r w:rsidRPr="0055114F">
        <w:rPr>
          <w:rFonts w:cstheme="minorHAnsi"/>
        </w:rPr>
        <w:t>differential treatment of registered health practitioners and allied health workers across different sectors</w:t>
      </w:r>
    </w:p>
    <w:p w14:paraId="29675FAF" w14:textId="5657717F" w:rsidR="002645C6" w:rsidRPr="002645C6" w:rsidRDefault="002645C6" w:rsidP="002645C6">
      <w:pPr>
        <w:pStyle w:val="mpcbullets2"/>
        <w:ind w:hanging="357"/>
        <w:jc w:val="both"/>
        <w:rPr>
          <w:rFonts w:cstheme="minorHAnsi"/>
        </w:rPr>
      </w:pPr>
      <w:r w:rsidRPr="0055114F">
        <w:rPr>
          <w:rFonts w:cstheme="minorHAnsi"/>
        </w:rPr>
        <w:t>the impact on the pay grade for PCWs under the modern awards</w:t>
      </w:r>
      <w:r w:rsidRPr="0055114F">
        <w:rPr>
          <w:rStyle w:val="FootnoteReference"/>
          <w:rFonts w:cstheme="minorHAnsi"/>
        </w:rPr>
        <w:footnoteReference w:id="31"/>
      </w:r>
      <w:r w:rsidRPr="0055114F">
        <w:rPr>
          <w:rFonts w:cstheme="minorHAnsi"/>
        </w:rPr>
        <w:t xml:space="preserve"> </w:t>
      </w:r>
    </w:p>
    <w:p w14:paraId="5C12A1CB" w14:textId="2E964918" w:rsidR="000278A6" w:rsidRPr="00D44E9A" w:rsidRDefault="000278A6" w:rsidP="007C36E4">
      <w:pPr>
        <w:pStyle w:val="mpcbullets1"/>
        <w:rPr>
          <w:rFonts w:cstheme="minorHAnsi"/>
        </w:rPr>
      </w:pPr>
      <w:r>
        <w:rPr>
          <w:rFonts w:cstheme="minorHAnsi"/>
        </w:rPr>
        <w:t xml:space="preserve">concerns that mandatory CPD will remove the focus and responsibility </w:t>
      </w:r>
      <w:r w:rsidR="00650683">
        <w:rPr>
          <w:rFonts w:cstheme="minorHAnsi"/>
        </w:rPr>
        <w:t>of</w:t>
      </w:r>
      <w:r>
        <w:rPr>
          <w:rFonts w:cstheme="minorHAnsi"/>
        </w:rPr>
        <w:t xml:space="preserve"> providers in relation to the development of workers</w:t>
      </w:r>
    </w:p>
    <w:p w14:paraId="0D88A1B8" w14:textId="567EF3CF" w:rsidR="008F3A2F" w:rsidRDefault="000278A6" w:rsidP="007C36E4">
      <w:pPr>
        <w:pStyle w:val="mpcbullets1"/>
      </w:pPr>
      <w:r>
        <w:t>the potential for initial trials</w:t>
      </w:r>
      <w:r w:rsidR="00650683">
        <w:t xml:space="preserve"> and</w:t>
      </w:r>
      <w:r>
        <w:t xml:space="preserve"> testing the appropriateness of registration standards while screening is being strengthened</w:t>
      </w:r>
    </w:p>
    <w:p w14:paraId="0101DCE5" w14:textId="76C6F0B9" w:rsidR="00911588" w:rsidRDefault="00911588" w:rsidP="007C36E4">
      <w:pPr>
        <w:pStyle w:val="mpcbullets1"/>
      </w:pPr>
      <w:r>
        <w:t>whether there w</w:t>
      </w:r>
      <w:r w:rsidR="00217350">
        <w:t>ould</w:t>
      </w:r>
      <w:r>
        <w:t xml:space="preserve"> be changes to the aged care legislation to provide a legislative basis for regulating individual workers</w:t>
      </w:r>
      <w:r w:rsidR="00911616">
        <w:t xml:space="preserve"> directly, or if the responsibilities to ensure the workforce meet registration </w:t>
      </w:r>
      <w:r w:rsidR="00217350">
        <w:t>requirement would</w:t>
      </w:r>
      <w:r w:rsidR="00911616">
        <w:t xml:space="preserve"> sit with providers</w:t>
      </w:r>
    </w:p>
    <w:p w14:paraId="599F68E6" w14:textId="452894DC" w:rsidR="000278A6" w:rsidRPr="00166636" w:rsidRDefault="007F6AE9" w:rsidP="007C36E4">
      <w:pPr>
        <w:pStyle w:val="mpcbullets1"/>
        <w:contextualSpacing/>
      </w:pPr>
      <w:r w:rsidRPr="009D15AC">
        <w:t>the transition stages and grandfathering arrangements</w:t>
      </w:r>
      <w:r>
        <w:t xml:space="preserve"> including recognition of prior learning and experience to support the existing workforce, particularly those in regional and remote areas and specialised providers. </w:t>
      </w:r>
      <w:r w:rsidR="000278A6">
        <w:br w:type="page"/>
      </w:r>
    </w:p>
    <w:p w14:paraId="5613DC2C" w14:textId="4B10ABE6" w:rsidR="009D6693" w:rsidRPr="00A131CE" w:rsidRDefault="00BF25CE" w:rsidP="007C36E4">
      <w:pPr>
        <w:pStyle w:val="mpcheading1"/>
      </w:pPr>
      <w:bookmarkStart w:id="74" w:name="_Toc45868454"/>
      <w:bookmarkStart w:id="75" w:name="_Toc49253259"/>
      <w:r w:rsidRPr="00BF25CE">
        <w:lastRenderedPageBreak/>
        <w:t>Chapter 6 – </w:t>
      </w:r>
      <w:r w:rsidR="00C36951">
        <w:t>Preferred</w:t>
      </w:r>
      <w:r w:rsidRPr="00BF25CE">
        <w:t xml:space="preserve"> model</w:t>
      </w:r>
      <w:r w:rsidR="00C36951">
        <w:t xml:space="preserve"> for further consultation</w:t>
      </w:r>
      <w:bookmarkEnd w:id="74"/>
      <w:bookmarkEnd w:id="75"/>
      <w:r w:rsidRPr="00BF25CE">
        <w:t xml:space="preserve"> </w:t>
      </w:r>
    </w:p>
    <w:p w14:paraId="52F27A25" w14:textId="5425EACC" w:rsidR="009D6693" w:rsidRPr="00781689" w:rsidRDefault="00FE4263" w:rsidP="007C36E4">
      <w:pPr>
        <w:pStyle w:val="mpcheading2"/>
        <w:spacing w:after="0"/>
        <w:rPr>
          <w:rFonts w:cstheme="minorHAnsi"/>
        </w:rPr>
      </w:pPr>
      <w:bookmarkStart w:id="76" w:name="_Toc45868455"/>
      <w:bookmarkStart w:id="77" w:name="_Toc49253260"/>
      <w:r>
        <w:rPr>
          <w:rFonts w:cstheme="minorHAnsi"/>
        </w:rPr>
        <w:t>Overview of p</w:t>
      </w:r>
      <w:r w:rsidR="00A131CE" w:rsidRPr="00781689">
        <w:rPr>
          <w:rFonts w:cstheme="minorHAnsi"/>
        </w:rPr>
        <w:t>referred model</w:t>
      </w:r>
      <w:bookmarkEnd w:id="76"/>
      <w:bookmarkEnd w:id="77"/>
      <w:r w:rsidR="00A131CE" w:rsidRPr="00781689">
        <w:rPr>
          <w:rFonts w:cstheme="minorHAnsi"/>
        </w:rPr>
        <w:t xml:space="preserve"> </w:t>
      </w:r>
    </w:p>
    <w:p w14:paraId="7A02D297" w14:textId="5FDB66FF" w:rsidR="00BF25CE" w:rsidRDefault="00BF25CE" w:rsidP="007C36E4">
      <w:pPr>
        <w:rPr>
          <w:rFonts w:cstheme="minorHAnsi"/>
        </w:rPr>
      </w:pPr>
    </w:p>
    <w:p w14:paraId="0E9150E8" w14:textId="266BBF93" w:rsidR="00A131CE" w:rsidRDefault="0000445C" w:rsidP="007C36E4">
      <w:pPr>
        <w:rPr>
          <w:rFonts w:cstheme="minorHAnsi"/>
        </w:rPr>
      </w:pPr>
      <w:r>
        <w:rPr>
          <w:rFonts w:cstheme="minorHAnsi"/>
        </w:rPr>
        <w:t>Based on the</w:t>
      </w:r>
      <w:r w:rsidR="00A131CE">
        <w:rPr>
          <w:rFonts w:cstheme="minorHAnsi"/>
        </w:rPr>
        <w:t xml:space="preserve"> stakeholder feedback</w:t>
      </w:r>
      <w:r>
        <w:rPr>
          <w:rFonts w:cstheme="minorHAnsi"/>
        </w:rPr>
        <w:t xml:space="preserve"> detailed above,</w:t>
      </w:r>
      <w:r w:rsidR="00A131CE">
        <w:rPr>
          <w:rFonts w:cstheme="minorHAnsi"/>
        </w:rPr>
        <w:t xml:space="preserve"> the following diagr</w:t>
      </w:r>
      <w:r>
        <w:rPr>
          <w:rFonts w:cstheme="minorHAnsi"/>
        </w:rPr>
        <w:t>am illustrates</w:t>
      </w:r>
      <w:r w:rsidR="00A131CE">
        <w:rPr>
          <w:rFonts w:cstheme="minorHAnsi"/>
        </w:rPr>
        <w:t xml:space="preserve"> the key features of a preferred </w:t>
      </w:r>
      <w:r>
        <w:rPr>
          <w:rFonts w:cstheme="minorHAnsi"/>
        </w:rPr>
        <w:t xml:space="preserve">worker regulation </w:t>
      </w:r>
      <w:r w:rsidR="00A131CE">
        <w:rPr>
          <w:rFonts w:cstheme="minorHAnsi"/>
        </w:rPr>
        <w:t>model</w:t>
      </w:r>
      <w:r>
        <w:rPr>
          <w:rFonts w:cstheme="minorHAnsi"/>
        </w:rPr>
        <w:t xml:space="preserve"> which comprises</w:t>
      </w:r>
      <w:r w:rsidR="00A131CE">
        <w:rPr>
          <w:rFonts w:cstheme="minorHAnsi"/>
        </w:rPr>
        <w:t xml:space="preserve"> </w:t>
      </w:r>
      <w:r w:rsidR="009D15AC">
        <w:rPr>
          <w:rFonts w:cstheme="minorHAnsi"/>
        </w:rPr>
        <w:t xml:space="preserve">a </w:t>
      </w:r>
      <w:r w:rsidR="00A131CE">
        <w:rPr>
          <w:rFonts w:cstheme="minorHAnsi"/>
        </w:rPr>
        <w:t xml:space="preserve">worker screening </w:t>
      </w:r>
      <w:r w:rsidR="009D15AC">
        <w:rPr>
          <w:rFonts w:cstheme="minorHAnsi"/>
        </w:rPr>
        <w:t xml:space="preserve">scheme </w:t>
      </w:r>
      <w:r w:rsidR="00A131CE">
        <w:rPr>
          <w:rFonts w:cstheme="minorHAnsi"/>
        </w:rPr>
        <w:t>as a priority reform</w:t>
      </w:r>
      <w:r w:rsidR="00F03906">
        <w:rPr>
          <w:rFonts w:cstheme="minorHAnsi"/>
        </w:rPr>
        <w:t>,</w:t>
      </w:r>
      <w:r w:rsidR="00A131CE">
        <w:rPr>
          <w:rFonts w:cstheme="minorHAnsi"/>
        </w:rPr>
        <w:t xml:space="preserve"> followed by the inclusion of a registration scheme for PCWs. </w:t>
      </w:r>
    </w:p>
    <w:p w14:paraId="0EA125AD" w14:textId="77777777" w:rsidR="00C67272" w:rsidRDefault="00C67272" w:rsidP="007C36E4">
      <w:pPr>
        <w:rPr>
          <w:rFonts w:cstheme="minorHAnsi"/>
        </w:rPr>
      </w:pPr>
    </w:p>
    <w:p w14:paraId="2E194D30" w14:textId="53FA31A7" w:rsidR="00015545" w:rsidRDefault="00243566" w:rsidP="007C36E4">
      <w:pPr>
        <w:pStyle w:val="mpcNormal"/>
        <w:spacing w:after="0"/>
        <w:rPr>
          <w:b/>
          <w:bCs/>
        </w:rPr>
      </w:pPr>
      <w:r>
        <w:rPr>
          <w:b/>
          <w:bCs/>
          <w:noProof/>
        </w:rPr>
        <w:drawing>
          <wp:inline distT="0" distB="0" distL="0" distR="0" wp14:anchorId="58FA4BA4" wp14:editId="67187CBD">
            <wp:extent cx="6199571" cy="6427261"/>
            <wp:effectExtent l="0" t="0" r="0" b="0"/>
            <wp:docPr id="4" name="Picture 4" descr="A diagram that sets out the features of a model for a worker regulation scheme. The diagram lists the outcomes of stakeholder feedback in relation to each of the following features: worker screening, a code of conduct, a register and registration standards. Points for further consideration are also listed against each fe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diagram that sets out the features of a model for a worker regulation scheme. The diagram lists the outcomes of stakeholder feedback in relation to each of the following features: worker screening, a code of conduct, a register and registration standards. Points for further consideration are also listed against each feature."/>
                    <pic:cNvPicPr/>
                  </pic:nvPicPr>
                  <pic:blipFill rotWithShape="1">
                    <a:blip r:embed="rId13">
                      <a:extLst>
                        <a:ext uri="{28A0092B-C50C-407E-A947-70E740481C1C}">
                          <a14:useLocalDpi xmlns:a14="http://schemas.microsoft.com/office/drawing/2010/main" val="0"/>
                        </a:ext>
                      </a:extLst>
                    </a:blip>
                    <a:srcRect l="3114"/>
                    <a:stretch/>
                  </pic:blipFill>
                  <pic:spPr bwMode="auto">
                    <a:xfrm>
                      <a:off x="0" y="0"/>
                      <a:ext cx="6199571" cy="6427261"/>
                    </a:xfrm>
                    <a:prstGeom prst="rect">
                      <a:avLst/>
                    </a:prstGeom>
                    <a:ln>
                      <a:noFill/>
                    </a:ln>
                    <a:extLst>
                      <a:ext uri="{53640926-AAD7-44D8-BBD7-CCE9431645EC}">
                        <a14:shadowObscured xmlns:a14="http://schemas.microsoft.com/office/drawing/2010/main"/>
                      </a:ext>
                    </a:extLst>
                  </pic:spPr>
                </pic:pic>
              </a:graphicData>
            </a:graphic>
          </wp:inline>
        </w:drawing>
      </w:r>
    </w:p>
    <w:p w14:paraId="34F8D7FF" w14:textId="27E33F25" w:rsidR="006A14E3" w:rsidRDefault="006A14E3" w:rsidP="007C36E4">
      <w:pPr>
        <w:pStyle w:val="mpcNormal"/>
        <w:spacing w:after="0"/>
        <w:rPr>
          <w:b/>
          <w:bCs/>
        </w:rPr>
      </w:pPr>
    </w:p>
    <w:p w14:paraId="18441CE0" w14:textId="18F919FF" w:rsidR="00FD64FC" w:rsidRDefault="00FD64FC" w:rsidP="007C36E4">
      <w:pPr>
        <w:pStyle w:val="mpcNormal"/>
        <w:spacing w:after="0"/>
        <w:rPr>
          <w:b/>
          <w:bCs/>
        </w:rPr>
      </w:pPr>
    </w:p>
    <w:p w14:paraId="630EBF9A" w14:textId="1A3763E7" w:rsidR="00732CE8" w:rsidRDefault="00732CE8" w:rsidP="007C36E4">
      <w:pPr>
        <w:pStyle w:val="mpcNormal"/>
        <w:spacing w:after="0"/>
        <w:rPr>
          <w:b/>
          <w:bCs/>
        </w:rPr>
      </w:pPr>
      <w:r>
        <w:rPr>
          <w:b/>
          <w:bCs/>
        </w:rPr>
        <w:br w:type="page"/>
      </w:r>
    </w:p>
    <w:p w14:paraId="5E657CB9" w14:textId="4380902F" w:rsidR="00561885" w:rsidRPr="005F18C6" w:rsidRDefault="00386D25" w:rsidP="007C36E4">
      <w:pPr>
        <w:pStyle w:val="mpcheading2"/>
        <w:spacing w:after="0"/>
        <w:rPr>
          <w:rFonts w:cstheme="minorHAnsi"/>
        </w:rPr>
      </w:pPr>
      <w:bookmarkStart w:id="78" w:name="_Toc49253261"/>
      <w:r>
        <w:rPr>
          <w:rFonts w:cstheme="minorHAnsi"/>
        </w:rPr>
        <w:lastRenderedPageBreak/>
        <w:t xml:space="preserve">Key elements of </w:t>
      </w:r>
      <w:r w:rsidR="003F5057">
        <w:rPr>
          <w:rFonts w:cstheme="minorHAnsi"/>
        </w:rPr>
        <w:t xml:space="preserve">the preferred </w:t>
      </w:r>
      <w:r>
        <w:rPr>
          <w:rFonts w:cstheme="minorHAnsi"/>
        </w:rPr>
        <w:t>model</w:t>
      </w:r>
      <w:bookmarkEnd w:id="78"/>
    </w:p>
    <w:p w14:paraId="3A717891" w14:textId="3484DD83" w:rsidR="00561885" w:rsidRDefault="00561885" w:rsidP="007C36E4">
      <w:pPr>
        <w:pStyle w:val="mpcNormal"/>
        <w:spacing w:after="0"/>
      </w:pPr>
    </w:p>
    <w:p w14:paraId="752C3DC3" w14:textId="77777777" w:rsidR="006D64AA" w:rsidRDefault="006D64AA" w:rsidP="006D64AA">
      <w:pPr>
        <w:pStyle w:val="mpcNormal"/>
        <w:spacing w:after="0"/>
      </w:pPr>
      <w:r>
        <w:t xml:space="preserve">The model illustrated above can be implemented in two (or more) distinct phases. This is consistent with stakeholder feedback regarding staging implementation to: </w:t>
      </w:r>
    </w:p>
    <w:p w14:paraId="3D4A5EF8" w14:textId="77777777" w:rsidR="006D64AA" w:rsidRDefault="006D64AA" w:rsidP="006D64AA">
      <w:pPr>
        <w:pStyle w:val="mpcNormal"/>
        <w:spacing w:after="0"/>
      </w:pPr>
    </w:p>
    <w:p w14:paraId="692A371E" w14:textId="5556C486" w:rsidR="006D64AA" w:rsidRDefault="006D64AA" w:rsidP="006D64AA">
      <w:pPr>
        <w:pStyle w:val="mpcbullets1"/>
        <w:contextualSpacing/>
      </w:pPr>
      <w:r>
        <w:t>first strengthen the baseline safeguards in relation to aged care workers through a centralised system of assessing criminal histories and suitability to work in the sector</w:t>
      </w:r>
      <w:r w:rsidR="00AB21CA">
        <w:t xml:space="preserve"> (noting that the development </w:t>
      </w:r>
      <w:r w:rsidR="00520001">
        <w:t xml:space="preserve">and implementation of worker screening and a code of conduct could be </w:t>
      </w:r>
      <w:r w:rsidR="00BC0E45">
        <w:t>under</w:t>
      </w:r>
      <w:r w:rsidR="00520001">
        <w:t>taken in parallel</w:t>
      </w:r>
      <w:r w:rsidR="00AB21CA">
        <w:t>)</w:t>
      </w:r>
      <w:r>
        <w:t>, and then</w:t>
      </w:r>
    </w:p>
    <w:p w14:paraId="139170BD" w14:textId="28B104D2" w:rsidR="006D64AA" w:rsidRPr="000C4069" w:rsidRDefault="00556DD1" w:rsidP="006D64AA">
      <w:pPr>
        <w:pStyle w:val="mpcbullets1"/>
        <w:contextualSpacing/>
      </w:pPr>
      <w:r>
        <w:t>implement</w:t>
      </w:r>
      <w:r w:rsidR="000C4069">
        <w:t xml:space="preserve"> a national approach to </w:t>
      </w:r>
      <w:r w:rsidR="003057B5">
        <w:t>qualifications, skills and competencies</w:t>
      </w:r>
      <w:r w:rsidR="006D64AA" w:rsidRPr="000C4069">
        <w:t xml:space="preserve"> (and </w:t>
      </w:r>
      <w:r w:rsidR="00711B7B" w:rsidRPr="000C4069">
        <w:t xml:space="preserve">further </w:t>
      </w:r>
      <w:r w:rsidR="006D64AA" w:rsidRPr="000C4069">
        <w:t xml:space="preserve">professionalise the workforce) by introducing registration standards for PCWs. </w:t>
      </w:r>
    </w:p>
    <w:p w14:paraId="7D597DE0" w14:textId="77777777" w:rsidR="00A4411C" w:rsidRDefault="00A4411C" w:rsidP="006D64AA">
      <w:pPr>
        <w:pStyle w:val="mpcNormal"/>
        <w:spacing w:after="0"/>
      </w:pPr>
    </w:p>
    <w:p w14:paraId="4E87CA62" w14:textId="280A8CBD" w:rsidR="00CD3A7E" w:rsidRDefault="006D64AA" w:rsidP="006D64AA">
      <w:pPr>
        <w:pStyle w:val="mpcNormal"/>
        <w:spacing w:after="0"/>
      </w:pPr>
      <w:r>
        <w:t xml:space="preserve">The key features of the worker screening scheme are proposed to be similar to the NDIS model in terms of what criminal history and conduct is being screened (which could largely be in accordance with the NDIS approach to tiering), the use of a code of conduct to drive and measure worker behaviour and to inform suitability assessment, and the use of a (positive and negative) register to record screening outcomes and decisions made in relation to suitability to work in the sector. </w:t>
      </w:r>
    </w:p>
    <w:p w14:paraId="4CBB7430" w14:textId="77777777" w:rsidR="00CD3A7E" w:rsidRDefault="00CD3A7E" w:rsidP="006D64AA">
      <w:pPr>
        <w:pStyle w:val="mpcNormal"/>
        <w:spacing w:after="0"/>
      </w:pPr>
    </w:p>
    <w:p w14:paraId="25F04ACD" w14:textId="33E8C81A" w:rsidR="006D64AA" w:rsidRDefault="006D64AA" w:rsidP="006D64AA">
      <w:pPr>
        <w:pStyle w:val="mpcNormal"/>
        <w:spacing w:after="0"/>
      </w:pPr>
      <w:r w:rsidRPr="00D25B1E">
        <w:t xml:space="preserve">Consistent with the NDIS </w:t>
      </w:r>
      <w:r w:rsidR="00650683">
        <w:t>C</w:t>
      </w:r>
      <w:r w:rsidRPr="00D25B1E">
        <w:t>ode, an aged care code could include requirements to</w:t>
      </w:r>
      <w:r>
        <w:t>:</w:t>
      </w:r>
    </w:p>
    <w:p w14:paraId="0E726BC6" w14:textId="77777777" w:rsidR="006D64AA" w:rsidRDefault="006D64AA" w:rsidP="006D64AA">
      <w:pPr>
        <w:pStyle w:val="mpcNormal"/>
        <w:spacing w:after="0"/>
      </w:pPr>
    </w:p>
    <w:p w14:paraId="569D417A" w14:textId="04515F1F" w:rsidR="006D64AA" w:rsidRDefault="006D64AA" w:rsidP="006D64AA">
      <w:pPr>
        <w:pStyle w:val="mpcbullets1"/>
        <w:contextualSpacing/>
      </w:pPr>
      <w:r w:rsidRPr="00D25B1E">
        <w:t>act in accordance with consumers</w:t>
      </w:r>
      <w:r w:rsidR="00FD0020">
        <w:t>’</w:t>
      </w:r>
      <w:r w:rsidRPr="00D25B1E">
        <w:t xml:space="preserve"> rights as described under the Charter of Aged Care Right</w:t>
      </w:r>
      <w:r>
        <w:t>s</w:t>
      </w:r>
    </w:p>
    <w:p w14:paraId="69E5C826" w14:textId="77777777" w:rsidR="006D64AA" w:rsidRPr="00964059" w:rsidRDefault="006D64AA" w:rsidP="006D64AA">
      <w:pPr>
        <w:pStyle w:val="mpcbullets1"/>
        <w:contextualSpacing/>
      </w:pPr>
      <w:r w:rsidRPr="00D25B1E">
        <w:t>provide care in a safe, competent and high quality manner with care and skill</w:t>
      </w:r>
    </w:p>
    <w:p w14:paraId="2F3C4A0C" w14:textId="77777777" w:rsidR="006D64AA" w:rsidRPr="00964059" w:rsidRDefault="006D64AA" w:rsidP="006D64AA">
      <w:pPr>
        <w:pStyle w:val="mpcbullets1"/>
        <w:contextualSpacing/>
      </w:pPr>
      <w:r w:rsidRPr="00D25B1E">
        <w:t>act with integrity, honesty and transparency</w:t>
      </w:r>
    </w:p>
    <w:p w14:paraId="36F18BF2" w14:textId="77777777" w:rsidR="006D64AA" w:rsidRDefault="006D64AA" w:rsidP="006D64AA">
      <w:pPr>
        <w:pStyle w:val="mpcbullets1"/>
        <w:contextualSpacing/>
      </w:pPr>
      <w:r w:rsidRPr="00D25B1E">
        <w:t>promptly take steps to raise and act on concerns about matters that might have an impact on the quality and safety of care provided to consumers</w:t>
      </w:r>
      <w:r w:rsidRPr="00D25B1E">
        <w:rPr>
          <w:rFonts w:ascii="MS Gothic" w:eastAsia="MS Gothic" w:hAnsi="MS Gothic" w:cs="MS Gothic" w:hint="eastAsia"/>
        </w:rPr>
        <w:t> </w:t>
      </w:r>
    </w:p>
    <w:p w14:paraId="6B9297BB" w14:textId="4415B3D3" w:rsidR="006D64AA" w:rsidRDefault="006D64AA" w:rsidP="006D64AA">
      <w:pPr>
        <w:pStyle w:val="mpcbullets1"/>
        <w:contextualSpacing/>
      </w:pPr>
      <w:r w:rsidRPr="00D25B1E">
        <w:t>take all reasonable steps to prevent and respond to all forms of abuse and neglect of consumers.</w:t>
      </w:r>
    </w:p>
    <w:p w14:paraId="5C9DF5BA" w14:textId="5DAF2230" w:rsidR="006D64AA" w:rsidRDefault="006D64AA" w:rsidP="006D64AA">
      <w:pPr>
        <w:pStyle w:val="mpcNormal"/>
        <w:spacing w:after="0"/>
      </w:pPr>
    </w:p>
    <w:p w14:paraId="7ACA3FD4" w14:textId="6325CAD7" w:rsidR="00CD3A7E" w:rsidRDefault="00CD3A7E" w:rsidP="00CD3A7E">
      <w:pPr>
        <w:pStyle w:val="mpcNormal"/>
        <w:spacing w:after="0"/>
      </w:pPr>
      <w:r w:rsidRPr="00CD3A7E">
        <w:t xml:space="preserve">The key way in which stakeholder preference diverged from the NDIS model was </w:t>
      </w:r>
      <w:r w:rsidR="00314132">
        <w:t xml:space="preserve">the preference for </w:t>
      </w:r>
      <w:r w:rsidRPr="00CD3A7E">
        <w:t>an aged care model that recognises and automatically accepts workers regulated and cleared by the National Scheme and NDIS Worker Screening Check as having satisfied the aged care screening requirements.</w:t>
      </w:r>
    </w:p>
    <w:p w14:paraId="3BFF9723" w14:textId="77777777" w:rsidR="00CD3A7E" w:rsidRPr="003057B5" w:rsidRDefault="00CD3A7E" w:rsidP="00CD3A7E">
      <w:pPr>
        <w:pStyle w:val="mpcNormal"/>
        <w:spacing w:after="0"/>
      </w:pPr>
    </w:p>
    <w:p w14:paraId="5755DB93" w14:textId="77777777" w:rsidR="00CD3A7E" w:rsidRDefault="00CD3A7E" w:rsidP="00CD3A7E">
      <w:pPr>
        <w:pStyle w:val="mpcNormal"/>
        <w:spacing w:after="0"/>
      </w:pPr>
      <w:r w:rsidRPr="003057B5">
        <w:t>By recognising and accepting screening outcomes</w:t>
      </w:r>
      <w:r>
        <w:t xml:space="preserve"> under the National Scheme and the NDIS Worker Screening Check for the purposes of aged care screening, this would mean that only those aged care workers who are not cleared or subject to other screening regimes would need to undergo assessment). This acknowledges that a worker screening scheme for some </w:t>
      </w:r>
      <w:r w:rsidRPr="00DB362C">
        <w:rPr>
          <w:rFonts w:cstheme="minorHAnsi"/>
        </w:rPr>
        <w:t xml:space="preserve">366,000 people </w:t>
      </w:r>
      <w:r>
        <w:rPr>
          <w:rFonts w:cstheme="minorHAnsi"/>
        </w:rPr>
        <w:t xml:space="preserve">currently </w:t>
      </w:r>
      <w:r w:rsidRPr="00DB362C">
        <w:rPr>
          <w:rFonts w:cstheme="minorHAnsi"/>
        </w:rPr>
        <w:t>working in aged care</w:t>
      </w:r>
      <w:r>
        <w:rPr>
          <w:rFonts w:cstheme="minorHAnsi"/>
        </w:rPr>
        <w:t xml:space="preserve">, with the </w:t>
      </w:r>
      <w:r>
        <w:t>potential to expand</w:t>
      </w:r>
      <w:r w:rsidRPr="00DB362C">
        <w:t xml:space="preserve"> </w:t>
      </w:r>
      <w:r>
        <w:t>t</w:t>
      </w:r>
      <w:r w:rsidRPr="00DB362C">
        <w:t>o 980,000 workers</w:t>
      </w:r>
      <w:r>
        <w:t xml:space="preserve"> by 2050, needs to be sustainable. It also needs to recognise and intersect seamlessly with other like schemes to avoid regulatory duplication (in the interests of workers, providers, consumers and government). </w:t>
      </w:r>
    </w:p>
    <w:p w14:paraId="470DE300" w14:textId="77777777" w:rsidR="00CD3A7E" w:rsidRDefault="00CD3A7E" w:rsidP="006D64AA">
      <w:pPr>
        <w:pStyle w:val="mpcNormal"/>
        <w:spacing w:after="0"/>
      </w:pPr>
    </w:p>
    <w:p w14:paraId="32E8DB4E" w14:textId="7F840891" w:rsidR="006D64AA" w:rsidRDefault="006D64AA" w:rsidP="006D64AA">
      <w:pPr>
        <w:pStyle w:val="mpcNormal"/>
        <w:spacing w:after="0"/>
      </w:pPr>
      <w:r>
        <w:t>The second stage of an aged care worker screening and registration scheme would focus on the details for registration specific to PCWs. Noting that PCWs make up 70 per cent of the direct care workforce in aged care</w:t>
      </w:r>
      <w:r>
        <w:rPr>
          <w:rStyle w:val="FootnoteReference"/>
        </w:rPr>
        <w:footnoteReference w:id="32"/>
      </w:r>
      <w:r>
        <w:t xml:space="preserve">, stakeholders acknowledged the potential to raise the quality of care provided to consumers through registration standards for PCWs.  </w:t>
      </w:r>
    </w:p>
    <w:p w14:paraId="5EC370AA" w14:textId="77777777" w:rsidR="006D64AA" w:rsidRDefault="006D64AA" w:rsidP="006D64AA">
      <w:pPr>
        <w:pStyle w:val="mpcNormal"/>
        <w:spacing w:after="0"/>
      </w:pPr>
    </w:p>
    <w:p w14:paraId="0AC6106A" w14:textId="6D444B8C" w:rsidR="006D64AA" w:rsidRDefault="006D64AA" w:rsidP="006D64AA">
      <w:pPr>
        <w:pStyle w:val="mpcNormal"/>
        <w:spacing w:after="0"/>
      </w:pPr>
      <w:r>
        <w:t xml:space="preserve">Introducing registration as part of future reform </w:t>
      </w:r>
      <w:r w:rsidR="00711B7B">
        <w:t xml:space="preserve">(rather than immediately) </w:t>
      </w:r>
      <w:r>
        <w:t xml:space="preserve">was well supported by stakeholders, particularly noting the significance of the reform needed to achieve the initial and strengthened worker screening component and the ongoing parallel work of the </w:t>
      </w:r>
      <w:r w:rsidR="002612AA">
        <w:t xml:space="preserve">Aged Care </w:t>
      </w:r>
      <w:r>
        <w:t>Workforce Industry Council</w:t>
      </w:r>
      <w:r w:rsidRPr="00A96101">
        <w:t xml:space="preserve"> </w:t>
      </w:r>
      <w:r>
        <w:t xml:space="preserve">in relation to reviewing opportunities to improve skills and capabilities within the sector. It was also acknowledged that providers remain responsible for workforce skills and capacity in the meantime, such that the urgency to implement registration was not </w:t>
      </w:r>
      <w:r w:rsidR="00711B7B">
        <w:t xml:space="preserve">as </w:t>
      </w:r>
      <w:r>
        <w:t xml:space="preserve">pivotal as worker screening. </w:t>
      </w:r>
    </w:p>
    <w:p w14:paraId="701336E9" w14:textId="2C2E8EFE" w:rsidR="003C5DEB" w:rsidRDefault="003C5DEB" w:rsidP="006D64AA">
      <w:pPr>
        <w:pStyle w:val="mpcNormal"/>
        <w:spacing w:after="0"/>
      </w:pPr>
    </w:p>
    <w:p w14:paraId="3BD3E205" w14:textId="4AB96820" w:rsidR="000905F3" w:rsidRDefault="003C5DEB" w:rsidP="006D64AA">
      <w:pPr>
        <w:pStyle w:val="mpcNormal"/>
        <w:spacing w:after="0"/>
      </w:pPr>
      <w:r>
        <w:t>Noting the significant impact of the C</w:t>
      </w:r>
      <w:r w:rsidR="00343053">
        <w:t>OVID-19</w:t>
      </w:r>
      <w:r>
        <w:t xml:space="preserve"> pandemic on the aged care sector, there may be support for strengthening the expectations of providers</w:t>
      </w:r>
      <w:r w:rsidR="00343053">
        <w:t xml:space="preserve"> (and provider peak bodies)</w:t>
      </w:r>
      <w:r>
        <w:t xml:space="preserve"> to ensure workforce competencies in critical areas </w:t>
      </w:r>
      <w:r w:rsidR="00343053">
        <w:t>(</w:t>
      </w:r>
      <w:r>
        <w:t xml:space="preserve">such as infection control), while further work is undertaken to review qualifications and skills within the sector and in advance of a registration scheme being developed and implemented. </w:t>
      </w:r>
    </w:p>
    <w:p w14:paraId="5ABF3A4B" w14:textId="77777777" w:rsidR="006D64AA" w:rsidRDefault="006D64AA" w:rsidP="007C36E4">
      <w:pPr>
        <w:pStyle w:val="mpcNormal"/>
        <w:spacing w:after="0"/>
      </w:pPr>
    </w:p>
    <w:p w14:paraId="73B06EDF" w14:textId="77777777" w:rsidR="00386D25" w:rsidRPr="005F18C6" w:rsidRDefault="00386D25" w:rsidP="00386D25">
      <w:pPr>
        <w:pStyle w:val="mpcheading2"/>
        <w:spacing w:after="0"/>
        <w:rPr>
          <w:rFonts w:cstheme="minorHAnsi"/>
        </w:rPr>
      </w:pPr>
      <w:bookmarkStart w:id="79" w:name="_Toc49253262"/>
      <w:r w:rsidRPr="005F18C6">
        <w:rPr>
          <w:rFonts w:cstheme="minorHAnsi"/>
        </w:rPr>
        <w:t>Design and implementation considerations</w:t>
      </w:r>
      <w:bookmarkEnd w:id="79"/>
      <w:r w:rsidRPr="005F18C6">
        <w:rPr>
          <w:rFonts w:cstheme="minorHAnsi"/>
        </w:rPr>
        <w:t xml:space="preserve"> </w:t>
      </w:r>
    </w:p>
    <w:p w14:paraId="403CB31E" w14:textId="77777777" w:rsidR="00386D25" w:rsidRDefault="00386D25" w:rsidP="007C36E4">
      <w:pPr>
        <w:pStyle w:val="mpcNormal"/>
        <w:spacing w:after="0"/>
      </w:pPr>
    </w:p>
    <w:p w14:paraId="67F9A458" w14:textId="4D7994FB" w:rsidR="003F5057" w:rsidRDefault="00561885" w:rsidP="007C36E4">
      <w:pPr>
        <w:pStyle w:val="mpcNormal"/>
        <w:spacing w:after="0"/>
      </w:pPr>
      <w:r w:rsidRPr="00561885">
        <w:t xml:space="preserve">As described </w:t>
      </w:r>
      <w:r w:rsidR="002E683E">
        <w:t>in the design and implementation considerations in Chapters 4 and 5</w:t>
      </w:r>
      <w:r w:rsidRPr="00561885">
        <w:t xml:space="preserve">, the </w:t>
      </w:r>
      <w:r w:rsidR="00F03906" w:rsidRPr="00A32490">
        <w:t>specific features</w:t>
      </w:r>
      <w:r w:rsidR="00F03906">
        <w:t xml:space="preserve"> and operational implications </w:t>
      </w:r>
      <w:r w:rsidRPr="00561885">
        <w:t xml:space="preserve">of a new worker regulation scheme </w:t>
      </w:r>
      <w:r w:rsidRPr="00A32490">
        <w:t>will require further</w:t>
      </w:r>
      <w:r w:rsidR="00F03906">
        <w:t xml:space="preserve"> consideration and</w:t>
      </w:r>
      <w:r w:rsidRPr="00A32490">
        <w:t xml:space="preserve"> consultation</w:t>
      </w:r>
      <w:r w:rsidR="00D317B1" w:rsidRPr="00A32490">
        <w:t xml:space="preserve">. </w:t>
      </w:r>
      <w:r w:rsidR="003F5057">
        <w:t>For example, there are several considerations yet to be explored in relation to the preferred model set out</w:t>
      </w:r>
      <w:r w:rsidR="00796030">
        <w:t xml:space="preserve"> above</w:t>
      </w:r>
      <w:r w:rsidR="003F5057">
        <w:t>, noting</w:t>
      </w:r>
      <w:r w:rsidR="00277BF0">
        <w:t xml:space="preserve"> in particular</w:t>
      </w:r>
      <w:r w:rsidR="003F5057">
        <w:t xml:space="preserve"> the elements that are still open ‘for consideration’. </w:t>
      </w:r>
    </w:p>
    <w:p w14:paraId="13A1AC1A" w14:textId="77777777" w:rsidR="002E683E" w:rsidRDefault="002E683E" w:rsidP="007C36E4">
      <w:pPr>
        <w:pStyle w:val="mpcNormal"/>
        <w:spacing w:after="0"/>
      </w:pPr>
    </w:p>
    <w:p w14:paraId="2E08FCEE" w14:textId="5B01A524" w:rsidR="00561885" w:rsidRPr="00A32490" w:rsidRDefault="00F9335E" w:rsidP="007C36E4">
      <w:pPr>
        <w:pStyle w:val="mpcNormal"/>
        <w:spacing w:after="0"/>
      </w:pPr>
      <w:r>
        <w:t>In summary, for</w:t>
      </w:r>
      <w:r w:rsidR="00D317B1" w:rsidRPr="00A32490">
        <w:t xml:space="preserve"> </w:t>
      </w:r>
      <w:r w:rsidR="002E683E">
        <w:t>any</w:t>
      </w:r>
      <w:r w:rsidR="00D317B1" w:rsidRPr="00A32490">
        <w:t xml:space="preserve"> model </w:t>
      </w:r>
      <w:r w:rsidR="002E683E">
        <w:t>adopted</w:t>
      </w:r>
      <w:r w:rsidR="00D317B1" w:rsidRPr="00A32490">
        <w:t xml:space="preserve">, </w:t>
      </w:r>
      <w:r w:rsidR="00561885" w:rsidRPr="00A32490">
        <w:t>the following operational matters</w:t>
      </w:r>
      <w:r w:rsidR="00D317B1" w:rsidRPr="00A32490">
        <w:t xml:space="preserve"> will be key: </w:t>
      </w:r>
      <w:r w:rsidR="00561885" w:rsidRPr="00A32490">
        <w:t xml:space="preserve">  </w:t>
      </w:r>
    </w:p>
    <w:p w14:paraId="43C2EC61" w14:textId="27F32599" w:rsidR="00561885" w:rsidRPr="00A32490" w:rsidRDefault="00561885" w:rsidP="007C36E4">
      <w:pPr>
        <w:pStyle w:val="mpcNormal"/>
        <w:spacing w:after="0"/>
      </w:pPr>
    </w:p>
    <w:p w14:paraId="35F628B0" w14:textId="5F5C4116" w:rsidR="00561885" w:rsidRPr="00A32490" w:rsidRDefault="00561885" w:rsidP="007C36E4">
      <w:pPr>
        <w:pStyle w:val="mpcbullets1"/>
        <w:rPr>
          <w:rFonts w:cstheme="minorHAnsi"/>
        </w:rPr>
      </w:pPr>
      <w:r w:rsidRPr="00A32490">
        <w:rPr>
          <w:rFonts w:cstheme="minorHAnsi"/>
        </w:rPr>
        <w:t>which body will oversee and be responsible for the scheme</w:t>
      </w:r>
      <w:r w:rsidR="00C7054A">
        <w:rPr>
          <w:rFonts w:cstheme="minorHAnsi"/>
        </w:rPr>
        <w:t xml:space="preserve"> (including how that body will be resourced)</w:t>
      </w:r>
      <w:r w:rsidRPr="00A32490">
        <w:rPr>
          <w:rFonts w:cstheme="minorHAnsi"/>
        </w:rPr>
        <w:t xml:space="preserve"> </w:t>
      </w:r>
    </w:p>
    <w:p w14:paraId="5A4C20F9" w14:textId="72E838C4" w:rsidR="00561885" w:rsidRDefault="00561885" w:rsidP="007C36E4">
      <w:pPr>
        <w:pStyle w:val="mpcbullets1"/>
        <w:rPr>
          <w:rFonts w:cstheme="minorHAnsi"/>
        </w:rPr>
      </w:pPr>
      <w:r w:rsidRPr="00A32490">
        <w:rPr>
          <w:rFonts w:cstheme="minorHAnsi"/>
        </w:rPr>
        <w:t xml:space="preserve">whether the </w:t>
      </w:r>
      <w:r w:rsidR="00F9335E">
        <w:rPr>
          <w:rFonts w:cstheme="minorHAnsi"/>
        </w:rPr>
        <w:t xml:space="preserve">same </w:t>
      </w:r>
      <w:r w:rsidRPr="00A32490">
        <w:rPr>
          <w:rFonts w:cstheme="minorHAnsi"/>
        </w:rPr>
        <w:t>body will be tasked with undertaking the screening functio</w:t>
      </w:r>
      <w:r w:rsidR="00F9335E">
        <w:rPr>
          <w:rFonts w:cstheme="minorHAnsi"/>
        </w:rPr>
        <w:t xml:space="preserve">n as well as </w:t>
      </w:r>
      <w:r w:rsidR="00BB2573" w:rsidRPr="00A32490">
        <w:rPr>
          <w:rFonts w:cstheme="minorHAnsi"/>
        </w:rPr>
        <w:t>consolidat</w:t>
      </w:r>
      <w:r w:rsidR="00F9335E">
        <w:rPr>
          <w:rFonts w:cstheme="minorHAnsi"/>
        </w:rPr>
        <w:t>ing and managing</w:t>
      </w:r>
      <w:r w:rsidR="00BB2573" w:rsidRPr="00A32490">
        <w:rPr>
          <w:rFonts w:cstheme="minorHAnsi"/>
        </w:rPr>
        <w:t xml:space="preserve"> </w:t>
      </w:r>
      <w:r w:rsidR="006D29D2">
        <w:rPr>
          <w:rFonts w:cstheme="minorHAnsi"/>
        </w:rPr>
        <w:t>screening</w:t>
      </w:r>
      <w:r w:rsidR="00F9335E">
        <w:rPr>
          <w:rFonts w:cstheme="minorHAnsi"/>
        </w:rPr>
        <w:t xml:space="preserve"> and </w:t>
      </w:r>
      <w:r w:rsidR="007B1FC4">
        <w:rPr>
          <w:rFonts w:cstheme="minorHAnsi"/>
        </w:rPr>
        <w:t xml:space="preserve">suitability </w:t>
      </w:r>
      <w:r w:rsidR="00F9335E">
        <w:rPr>
          <w:rFonts w:cstheme="minorHAnsi"/>
        </w:rPr>
        <w:t>assessment</w:t>
      </w:r>
      <w:r w:rsidR="006D29D2">
        <w:rPr>
          <w:rFonts w:cstheme="minorHAnsi"/>
        </w:rPr>
        <w:t xml:space="preserve"> outcomes</w:t>
      </w:r>
      <w:r w:rsidR="00BB2573" w:rsidRPr="00A32490">
        <w:rPr>
          <w:rFonts w:cstheme="minorHAnsi"/>
        </w:rPr>
        <w:t xml:space="preserve"> for the purposes of a register</w:t>
      </w:r>
      <w:r w:rsidR="00AA7736">
        <w:rPr>
          <w:rFonts w:cstheme="minorHAnsi"/>
        </w:rPr>
        <w:t xml:space="preserve">, and setting and managing </w:t>
      </w:r>
      <w:r w:rsidR="004C3FDA">
        <w:rPr>
          <w:rFonts w:cstheme="minorHAnsi"/>
        </w:rPr>
        <w:t xml:space="preserve">any </w:t>
      </w:r>
      <w:r w:rsidR="00AA7736">
        <w:rPr>
          <w:rFonts w:cstheme="minorHAnsi"/>
        </w:rPr>
        <w:t>registration standards</w:t>
      </w:r>
      <w:r w:rsidR="004C3FDA">
        <w:rPr>
          <w:rFonts w:cstheme="minorHAnsi"/>
        </w:rPr>
        <w:t xml:space="preserve"> for PCWs in the future</w:t>
      </w:r>
    </w:p>
    <w:p w14:paraId="1F53DC51" w14:textId="52051F41" w:rsidR="00AA7736" w:rsidRPr="00A32490" w:rsidRDefault="00AA7736" w:rsidP="007C36E4">
      <w:pPr>
        <w:pStyle w:val="mpcbullets1"/>
        <w:rPr>
          <w:rFonts w:cstheme="minorHAnsi"/>
        </w:rPr>
      </w:pPr>
      <w:r>
        <w:rPr>
          <w:rFonts w:cstheme="minorHAnsi"/>
        </w:rPr>
        <w:t xml:space="preserve">how </w:t>
      </w:r>
      <w:r w:rsidR="00C7054A">
        <w:rPr>
          <w:rFonts w:cstheme="minorHAnsi"/>
        </w:rPr>
        <w:t>the</w:t>
      </w:r>
      <w:r>
        <w:rPr>
          <w:rFonts w:cstheme="minorHAnsi"/>
        </w:rPr>
        <w:t xml:space="preserve"> aged care scheme will intersect with </w:t>
      </w:r>
      <w:r w:rsidR="004C3FDA">
        <w:rPr>
          <w:rFonts w:cstheme="minorHAnsi"/>
        </w:rPr>
        <w:t>(</w:t>
      </w:r>
      <w:r>
        <w:rPr>
          <w:rFonts w:cstheme="minorHAnsi"/>
        </w:rPr>
        <w:t>and complement</w:t>
      </w:r>
      <w:r w:rsidR="004C3FDA">
        <w:rPr>
          <w:rFonts w:cstheme="minorHAnsi"/>
        </w:rPr>
        <w:t>)</w:t>
      </w:r>
      <w:r>
        <w:rPr>
          <w:rFonts w:cstheme="minorHAnsi"/>
        </w:rPr>
        <w:t xml:space="preserve"> like schemes</w:t>
      </w:r>
      <w:r w:rsidR="00C54FEA">
        <w:rPr>
          <w:rFonts w:cstheme="minorHAnsi"/>
        </w:rPr>
        <w:t xml:space="preserve"> </w:t>
      </w:r>
      <w:r>
        <w:rPr>
          <w:rFonts w:cstheme="minorHAnsi"/>
        </w:rPr>
        <w:t xml:space="preserve">(particularly the NDIS </w:t>
      </w:r>
      <w:r w:rsidR="00C338A6">
        <w:rPr>
          <w:rFonts w:cstheme="minorHAnsi"/>
        </w:rPr>
        <w:t>model</w:t>
      </w:r>
      <w:r>
        <w:rPr>
          <w:rFonts w:cstheme="minorHAnsi"/>
        </w:rPr>
        <w:t xml:space="preserve"> and the National Scheme)</w:t>
      </w:r>
      <w:r w:rsidR="007B1FC4">
        <w:rPr>
          <w:rFonts w:cstheme="minorHAnsi"/>
        </w:rPr>
        <w:t>, including how information is shared and mutual recognition is e</w:t>
      </w:r>
      <w:r w:rsidR="00A51A5F">
        <w:rPr>
          <w:rFonts w:cstheme="minorHAnsi"/>
        </w:rPr>
        <w:t>nabled</w:t>
      </w:r>
    </w:p>
    <w:p w14:paraId="195686E4" w14:textId="1D0E281D" w:rsidR="00C7054A" w:rsidRPr="00C7054A" w:rsidRDefault="00561885" w:rsidP="007C36E4">
      <w:pPr>
        <w:pStyle w:val="mpcbullets1"/>
        <w:rPr>
          <w:rFonts w:cstheme="minorHAnsi"/>
        </w:rPr>
      </w:pPr>
      <w:r w:rsidRPr="00A32490">
        <w:rPr>
          <w:rFonts w:cstheme="minorHAnsi"/>
        </w:rPr>
        <w:t>how the roll out of the scheme will be staged</w:t>
      </w:r>
      <w:r w:rsidR="00F9335E">
        <w:rPr>
          <w:rFonts w:cstheme="minorHAnsi"/>
        </w:rPr>
        <w:t>, including implementation timeframes</w:t>
      </w:r>
      <w:r w:rsidR="00C7054A">
        <w:rPr>
          <w:rFonts w:cstheme="minorHAnsi"/>
        </w:rPr>
        <w:t xml:space="preserve"> and transitional arrangements for workers</w:t>
      </w:r>
    </w:p>
    <w:p w14:paraId="480DE60A" w14:textId="120D858A" w:rsidR="00C54FEA" w:rsidRDefault="00A32490" w:rsidP="007C36E4">
      <w:pPr>
        <w:pStyle w:val="mpcbullets1"/>
        <w:rPr>
          <w:rFonts w:cstheme="minorHAnsi"/>
        </w:rPr>
      </w:pPr>
      <w:r w:rsidRPr="00A32490">
        <w:rPr>
          <w:rFonts w:cstheme="minorHAnsi"/>
        </w:rPr>
        <w:t>the impact</w:t>
      </w:r>
      <w:r w:rsidR="00AD2A34">
        <w:rPr>
          <w:rFonts w:cstheme="minorHAnsi"/>
        </w:rPr>
        <w:t xml:space="preserve"> of</w:t>
      </w:r>
      <w:r w:rsidRPr="00A32490">
        <w:rPr>
          <w:rFonts w:cstheme="minorHAnsi"/>
        </w:rPr>
        <w:t xml:space="preserve"> </w:t>
      </w:r>
      <w:r>
        <w:rPr>
          <w:rFonts w:cstheme="minorHAnsi"/>
        </w:rPr>
        <w:t xml:space="preserve">parallel </w:t>
      </w:r>
      <w:r w:rsidRPr="00A32490">
        <w:rPr>
          <w:rFonts w:cstheme="minorHAnsi"/>
        </w:rPr>
        <w:t xml:space="preserve">initiatives and </w:t>
      </w:r>
      <w:r>
        <w:rPr>
          <w:rFonts w:cstheme="minorHAnsi"/>
        </w:rPr>
        <w:t>reviews</w:t>
      </w:r>
      <w:r w:rsidR="00AD2A34">
        <w:rPr>
          <w:rFonts w:cstheme="minorHAnsi"/>
        </w:rPr>
        <w:t>,</w:t>
      </w:r>
      <w:r>
        <w:rPr>
          <w:rFonts w:cstheme="minorHAnsi"/>
        </w:rPr>
        <w:t xml:space="preserve"> </w:t>
      </w:r>
      <w:r w:rsidRPr="00A32490">
        <w:rPr>
          <w:rFonts w:cstheme="minorHAnsi"/>
        </w:rPr>
        <w:t xml:space="preserve">including the outcomes of the </w:t>
      </w:r>
      <w:r w:rsidR="00123B67">
        <w:rPr>
          <w:rFonts w:cstheme="minorHAnsi"/>
        </w:rPr>
        <w:t>Aged Care Workforce Industry Council</w:t>
      </w:r>
      <w:r w:rsidR="006D29D2">
        <w:rPr>
          <w:rFonts w:cstheme="minorHAnsi"/>
        </w:rPr>
        <w:t xml:space="preserve"> and the </w:t>
      </w:r>
      <w:r w:rsidRPr="00A32490">
        <w:rPr>
          <w:rFonts w:cstheme="minorHAnsi"/>
        </w:rPr>
        <w:t>Royal Commission</w:t>
      </w:r>
      <w:r w:rsidR="00C54FEA">
        <w:rPr>
          <w:rFonts w:cstheme="minorHAnsi"/>
        </w:rPr>
        <w:t>, and</w:t>
      </w:r>
    </w:p>
    <w:p w14:paraId="5C87C0A0" w14:textId="4A340A04" w:rsidR="00561885" w:rsidRPr="00C7054A" w:rsidRDefault="00C54FEA" w:rsidP="007C36E4">
      <w:pPr>
        <w:pStyle w:val="mpcbullets1"/>
        <w:rPr>
          <w:rFonts w:cstheme="minorHAnsi"/>
        </w:rPr>
      </w:pPr>
      <w:r>
        <w:rPr>
          <w:rFonts w:cstheme="minorHAnsi"/>
        </w:rPr>
        <w:t>legislative implementation details</w:t>
      </w:r>
      <w:r w:rsidR="00A97C4F">
        <w:rPr>
          <w:rFonts w:cstheme="minorHAnsi"/>
        </w:rPr>
        <w:t xml:space="preserve"> (including how the scheme </w:t>
      </w:r>
      <w:r w:rsidR="00600A1C">
        <w:rPr>
          <w:rFonts w:cstheme="minorHAnsi"/>
        </w:rPr>
        <w:t>could</w:t>
      </w:r>
      <w:r w:rsidR="00A97C4F">
        <w:rPr>
          <w:rFonts w:cstheme="minorHAnsi"/>
        </w:rPr>
        <w:t xml:space="preserve"> be applied to </w:t>
      </w:r>
      <w:r w:rsidR="00600A1C">
        <w:rPr>
          <w:rFonts w:cstheme="minorHAnsi"/>
        </w:rPr>
        <w:t xml:space="preserve">individual </w:t>
      </w:r>
      <w:r w:rsidR="00A97C4F">
        <w:rPr>
          <w:rFonts w:cstheme="minorHAnsi"/>
        </w:rPr>
        <w:t>workers</w:t>
      </w:r>
      <w:r w:rsidR="00600A1C">
        <w:rPr>
          <w:rFonts w:cstheme="minorHAnsi"/>
        </w:rPr>
        <w:t xml:space="preserve"> within the aged care legislation framework</w:t>
      </w:r>
      <w:r w:rsidR="00A97C4F">
        <w:rPr>
          <w:rFonts w:cstheme="minorHAnsi"/>
        </w:rPr>
        <w:t>)</w:t>
      </w:r>
      <w:r>
        <w:rPr>
          <w:rFonts w:cstheme="minorHAnsi"/>
        </w:rPr>
        <w:t>.</w:t>
      </w:r>
      <w:r w:rsidR="00561885" w:rsidRPr="00C7054A">
        <w:rPr>
          <w:rFonts w:cstheme="minorHAnsi"/>
        </w:rPr>
        <w:t xml:space="preserve"> </w:t>
      </w:r>
    </w:p>
    <w:p w14:paraId="7E0C1677" w14:textId="298CE325" w:rsidR="00123B67" w:rsidRDefault="00123B67" w:rsidP="007C36E4">
      <w:pPr>
        <w:pStyle w:val="mpcbullets1"/>
        <w:numPr>
          <w:ilvl w:val="0"/>
          <w:numId w:val="0"/>
        </w:numPr>
        <w:rPr>
          <w:rFonts w:cstheme="minorHAnsi"/>
        </w:rPr>
      </w:pPr>
    </w:p>
    <w:p w14:paraId="443A15AB" w14:textId="77777777" w:rsidR="0000445C" w:rsidRPr="00A32490" w:rsidRDefault="0000445C" w:rsidP="007C36E4">
      <w:pPr>
        <w:pStyle w:val="mpcNormal"/>
        <w:rPr>
          <w:b/>
          <w:bCs/>
        </w:rPr>
      </w:pPr>
    </w:p>
    <w:p w14:paraId="48419CDF" w14:textId="6AE93108" w:rsidR="00243566" w:rsidRDefault="00243566" w:rsidP="007C36E4">
      <w:pPr>
        <w:rPr>
          <w:b/>
          <w:bCs/>
        </w:rPr>
      </w:pPr>
      <w:r>
        <w:rPr>
          <w:b/>
          <w:bCs/>
        </w:rPr>
        <w:br w:type="page"/>
      </w:r>
    </w:p>
    <w:p w14:paraId="0F0AEA88" w14:textId="77777777" w:rsidR="00106E54" w:rsidRDefault="00106E54" w:rsidP="007C36E4">
      <w:pPr>
        <w:rPr>
          <w:b/>
          <w:bCs/>
        </w:rPr>
      </w:pPr>
    </w:p>
    <w:p w14:paraId="23DC8563" w14:textId="77777777" w:rsidR="00106E54" w:rsidRPr="00ED0618" w:rsidRDefault="00106E54" w:rsidP="007C36E4">
      <w:pPr>
        <w:pStyle w:val="mpcheading1"/>
      </w:pPr>
      <w:bookmarkStart w:id="80" w:name="_Toc493777483"/>
      <w:bookmarkStart w:id="81" w:name="_Toc45868456"/>
      <w:bookmarkStart w:id="82" w:name="_Toc49253263"/>
      <w:r w:rsidRPr="00ED0618">
        <w:t xml:space="preserve">Attachment A: </w:t>
      </w:r>
      <w:bookmarkEnd w:id="80"/>
      <w:r w:rsidRPr="00ED0618">
        <w:t>Profile of stakeholders responding to online consultation</w:t>
      </w:r>
      <w:bookmarkEnd w:id="81"/>
      <w:bookmarkEnd w:id="82"/>
    </w:p>
    <w:p w14:paraId="5DF5DF6C" w14:textId="77777777" w:rsidR="00106E54" w:rsidRPr="00ED0618" w:rsidRDefault="00106E54" w:rsidP="007C36E4">
      <w:pPr>
        <w:rPr>
          <w:rFonts w:cstheme="minorHAnsi"/>
        </w:rPr>
      </w:pPr>
      <w:r w:rsidRPr="00ED0618">
        <w:rPr>
          <w:rFonts w:cstheme="minorHAnsi"/>
        </w:rPr>
        <w:t xml:space="preserve">In total, </w:t>
      </w:r>
      <w:r>
        <w:rPr>
          <w:rFonts w:cstheme="minorHAnsi"/>
        </w:rPr>
        <w:t>264</w:t>
      </w:r>
      <w:r w:rsidRPr="00ED0618">
        <w:rPr>
          <w:rFonts w:cstheme="minorHAnsi"/>
        </w:rPr>
        <w:t xml:space="preserve"> submissions were received </w:t>
      </w:r>
      <w:r>
        <w:rPr>
          <w:rFonts w:cstheme="minorHAnsi"/>
        </w:rPr>
        <w:t>in response to</w:t>
      </w:r>
      <w:r w:rsidRPr="00ED0618">
        <w:rPr>
          <w:rFonts w:cstheme="minorHAnsi"/>
        </w:rPr>
        <w:t xml:space="preserve"> the </w:t>
      </w:r>
      <w:r w:rsidRPr="00ED0618">
        <w:rPr>
          <w:rFonts w:cstheme="minorHAnsi"/>
          <w:i/>
        </w:rPr>
        <w:t>Aged Care Worker Regulation Scheme Consultation</w:t>
      </w:r>
      <w:r>
        <w:rPr>
          <w:rFonts w:cstheme="minorHAnsi"/>
          <w:i/>
        </w:rPr>
        <w:t xml:space="preserve"> </w:t>
      </w:r>
      <w:r w:rsidRPr="005247D0">
        <w:rPr>
          <w:rFonts w:cstheme="minorHAnsi"/>
          <w:iCs/>
        </w:rPr>
        <w:t>online survey. The data</w:t>
      </w:r>
      <w:r w:rsidRPr="00ED0618">
        <w:rPr>
          <w:rFonts w:cstheme="minorHAnsi"/>
        </w:rPr>
        <w:t xml:space="preserve"> in this </w:t>
      </w:r>
      <w:r>
        <w:rPr>
          <w:rFonts w:cstheme="minorHAnsi"/>
        </w:rPr>
        <w:t>a</w:t>
      </w:r>
      <w:r w:rsidRPr="00ED0618">
        <w:rPr>
          <w:rFonts w:cstheme="minorHAnsi"/>
        </w:rPr>
        <w:t>ttachment relates to the responses to the online survey</w:t>
      </w:r>
      <w:r>
        <w:rPr>
          <w:rFonts w:cstheme="minorHAnsi"/>
        </w:rPr>
        <w:t xml:space="preserve"> and does not include the further 12 submissions that were not submitted through the online platform</w:t>
      </w:r>
      <w:r w:rsidRPr="00ED0618">
        <w:rPr>
          <w:rFonts w:cstheme="minorHAnsi"/>
        </w:rPr>
        <w:t>.</w:t>
      </w:r>
      <w:r>
        <w:rPr>
          <w:rFonts w:cstheme="minorHAnsi"/>
        </w:rPr>
        <w:t xml:space="preserve"> </w:t>
      </w:r>
      <w:r w:rsidRPr="00ED0618">
        <w:rPr>
          <w:rFonts w:cstheme="minorHAnsi"/>
        </w:rPr>
        <w:t xml:space="preserve">Please note that the number of responses </w:t>
      </w:r>
      <w:r>
        <w:rPr>
          <w:rFonts w:cstheme="minorHAnsi"/>
        </w:rPr>
        <w:t>reflected in some of the</w:t>
      </w:r>
      <w:r w:rsidRPr="00ED0618">
        <w:rPr>
          <w:rFonts w:cstheme="minorHAnsi"/>
        </w:rPr>
        <w:t xml:space="preserve"> tables</w:t>
      </w:r>
      <w:r>
        <w:rPr>
          <w:rFonts w:cstheme="minorHAnsi"/>
        </w:rPr>
        <w:t xml:space="preserve"> below,</w:t>
      </w:r>
      <w:r w:rsidRPr="00ED0618">
        <w:rPr>
          <w:rFonts w:cstheme="minorHAnsi"/>
        </w:rPr>
        <w:t xml:space="preserve"> do</w:t>
      </w:r>
      <w:r>
        <w:rPr>
          <w:rFonts w:cstheme="minorHAnsi"/>
        </w:rPr>
        <w:t>es</w:t>
      </w:r>
      <w:r w:rsidRPr="00ED0618">
        <w:rPr>
          <w:rFonts w:cstheme="minorHAnsi"/>
        </w:rPr>
        <w:t xml:space="preserve"> not correlate with the number of surveys completed because stakeholders were able to select multiple responses to some questions. </w:t>
      </w:r>
    </w:p>
    <w:p w14:paraId="3C891A1F" w14:textId="77777777" w:rsidR="00106E54" w:rsidRPr="00ED0618" w:rsidRDefault="00106E54" w:rsidP="007C36E4">
      <w:pPr>
        <w:rPr>
          <w:rFonts w:cstheme="minorHAnsi"/>
        </w:rPr>
      </w:pPr>
    </w:p>
    <w:p w14:paraId="72BBFE5C" w14:textId="77777777" w:rsidR="00106E54" w:rsidRPr="00ED0618" w:rsidRDefault="00106E54" w:rsidP="007C36E4">
      <w:pPr>
        <w:pStyle w:val="Caption"/>
        <w:spacing w:before="0" w:after="0"/>
        <w:rPr>
          <w:rFonts w:cstheme="minorHAnsi"/>
          <w:b w:val="0"/>
          <w:sz w:val="24"/>
          <w:szCs w:val="24"/>
        </w:rPr>
      </w:pPr>
      <w:r w:rsidRPr="00ED0618">
        <w:rPr>
          <w:rFonts w:cstheme="minorHAnsi"/>
          <w:sz w:val="24"/>
          <w:szCs w:val="24"/>
        </w:rPr>
        <w:t xml:space="preserve">Table </w:t>
      </w:r>
      <w:r w:rsidRPr="00ED0618">
        <w:rPr>
          <w:rFonts w:cstheme="minorHAnsi"/>
          <w:b w:val="0"/>
          <w:sz w:val="24"/>
          <w:szCs w:val="24"/>
        </w:rPr>
        <w:fldChar w:fldCharType="begin"/>
      </w:r>
      <w:r w:rsidRPr="00ED0618">
        <w:rPr>
          <w:rFonts w:cstheme="minorHAnsi"/>
          <w:sz w:val="24"/>
          <w:szCs w:val="24"/>
        </w:rPr>
        <w:instrText xml:space="preserve"> SEQ Table \* ARABIC </w:instrText>
      </w:r>
      <w:r w:rsidRPr="00ED0618">
        <w:rPr>
          <w:rFonts w:cstheme="minorHAnsi"/>
          <w:b w:val="0"/>
          <w:sz w:val="24"/>
          <w:szCs w:val="24"/>
        </w:rPr>
        <w:fldChar w:fldCharType="separate"/>
      </w:r>
      <w:r w:rsidRPr="00ED0618">
        <w:rPr>
          <w:rFonts w:cstheme="minorHAnsi"/>
          <w:noProof/>
          <w:sz w:val="24"/>
          <w:szCs w:val="24"/>
        </w:rPr>
        <w:t>1</w:t>
      </w:r>
      <w:r w:rsidRPr="00ED0618">
        <w:rPr>
          <w:rFonts w:cstheme="minorHAnsi"/>
          <w:b w:val="0"/>
          <w:sz w:val="24"/>
          <w:szCs w:val="24"/>
        </w:rPr>
        <w:fldChar w:fldCharType="end"/>
      </w:r>
      <w:r w:rsidRPr="00ED0618">
        <w:rPr>
          <w:rFonts w:cstheme="minorHAnsi"/>
          <w:sz w:val="24"/>
          <w:szCs w:val="24"/>
        </w:rPr>
        <w:t xml:space="preserve"> Role of stakeholders responding to the survey</w:t>
      </w:r>
    </w:p>
    <w:p w14:paraId="311A0D3A" w14:textId="77777777" w:rsidR="00106E54" w:rsidRDefault="00106E54" w:rsidP="007C36E4">
      <w:pPr>
        <w:rPr>
          <w:rFonts w:cstheme="minorHAnsi"/>
        </w:rPr>
      </w:pPr>
      <w:r w:rsidRPr="00ED0618">
        <w:rPr>
          <w:rFonts w:cstheme="minorHAnsi"/>
        </w:rPr>
        <w:t>Stakeholders were asked what stakeholder category they most identified with.</w:t>
      </w:r>
    </w:p>
    <w:p w14:paraId="4F7A4302" w14:textId="77777777" w:rsidR="00106E54" w:rsidRPr="00ED0618" w:rsidRDefault="00106E54" w:rsidP="007C36E4">
      <w:pPr>
        <w:rPr>
          <w:rFonts w:cstheme="minorHAnsi"/>
        </w:rPr>
      </w:pPr>
    </w:p>
    <w:tbl>
      <w:tblPr>
        <w:tblStyle w:val="TableGrid"/>
        <w:tblW w:w="5000" w:type="pct"/>
        <w:tblLook w:val="04A0" w:firstRow="1" w:lastRow="0" w:firstColumn="1" w:lastColumn="0" w:noHBand="0" w:noVBand="1"/>
        <w:tblCaption w:val="Table 1 Role of Respondents to Online Survey"/>
        <w:tblDescription w:val="This table describes the number of online survey respondents by category"/>
      </w:tblPr>
      <w:tblGrid>
        <w:gridCol w:w="7084"/>
        <w:gridCol w:w="2652"/>
      </w:tblGrid>
      <w:tr w:rsidR="00106E54" w:rsidRPr="00ED0618" w14:paraId="2615D4B8" w14:textId="77777777" w:rsidTr="00547014">
        <w:trPr>
          <w:trHeight w:val="340"/>
        </w:trPr>
        <w:tc>
          <w:tcPr>
            <w:tcW w:w="3638" w:type="pct"/>
            <w:shd w:val="clear" w:color="auto" w:fill="516A8E"/>
          </w:tcPr>
          <w:p w14:paraId="206994DF" w14:textId="77777777" w:rsidR="00106E54" w:rsidRPr="00ED0618" w:rsidRDefault="00106E54" w:rsidP="007C36E4">
            <w:pPr>
              <w:pStyle w:val="Tabletext"/>
              <w:spacing w:before="0" w:after="0" w:line="240" w:lineRule="auto"/>
              <w:rPr>
                <w:rFonts w:cstheme="minorHAnsi"/>
                <w:b/>
                <w:color w:val="FFFFFF" w:themeColor="background1"/>
                <w:sz w:val="24"/>
                <w:szCs w:val="24"/>
              </w:rPr>
            </w:pPr>
            <w:r w:rsidRPr="00ED0618">
              <w:rPr>
                <w:rFonts w:cstheme="minorHAnsi"/>
                <w:b/>
                <w:color w:val="FFFFFF" w:themeColor="background1"/>
                <w:sz w:val="24"/>
                <w:szCs w:val="24"/>
              </w:rPr>
              <w:t>Category of stakeholder</w:t>
            </w:r>
          </w:p>
        </w:tc>
        <w:tc>
          <w:tcPr>
            <w:tcW w:w="1362" w:type="pct"/>
            <w:shd w:val="clear" w:color="auto" w:fill="516A8E"/>
          </w:tcPr>
          <w:p w14:paraId="0D80ED21" w14:textId="77777777" w:rsidR="00106E54" w:rsidRPr="00ED0618" w:rsidRDefault="00106E54" w:rsidP="007C36E4">
            <w:pPr>
              <w:rPr>
                <w:rFonts w:cstheme="minorHAnsi"/>
                <w:b/>
                <w:color w:val="FFFFFF" w:themeColor="background1"/>
              </w:rPr>
            </w:pPr>
            <w:r w:rsidRPr="00ED0618">
              <w:rPr>
                <w:rFonts w:cstheme="minorHAnsi"/>
                <w:b/>
                <w:color w:val="FFFFFF" w:themeColor="background1"/>
              </w:rPr>
              <w:t xml:space="preserve">Online survey responses </w:t>
            </w:r>
          </w:p>
        </w:tc>
      </w:tr>
      <w:tr w:rsidR="00106E54" w:rsidRPr="00ED0618" w14:paraId="7504F825" w14:textId="77777777" w:rsidTr="00547014">
        <w:trPr>
          <w:trHeight w:val="340"/>
        </w:trPr>
        <w:tc>
          <w:tcPr>
            <w:tcW w:w="3638" w:type="pct"/>
          </w:tcPr>
          <w:p w14:paraId="2E8E667E" w14:textId="77777777" w:rsidR="00106E54" w:rsidRPr="00ED0618" w:rsidRDefault="00106E54" w:rsidP="007C36E4">
            <w:pPr>
              <w:rPr>
                <w:rFonts w:cstheme="minorHAnsi"/>
                <w:lang w:val="en" w:eastAsia="en-AU"/>
              </w:rPr>
            </w:pPr>
            <w:r w:rsidRPr="00ED0618">
              <w:rPr>
                <w:rFonts w:cstheme="minorHAnsi"/>
                <w:lang w:val="en" w:eastAsia="en-AU"/>
              </w:rPr>
              <w:t xml:space="preserve">Aged care consumer, including family and/or carer </w:t>
            </w:r>
          </w:p>
        </w:tc>
        <w:tc>
          <w:tcPr>
            <w:tcW w:w="1362" w:type="pct"/>
          </w:tcPr>
          <w:p w14:paraId="27FECCD6" w14:textId="77777777" w:rsidR="00106E54" w:rsidRPr="00ED0618" w:rsidRDefault="00106E54" w:rsidP="007C36E4">
            <w:pPr>
              <w:rPr>
                <w:rFonts w:cstheme="minorHAnsi"/>
                <w:lang w:val="en" w:eastAsia="en-AU"/>
              </w:rPr>
            </w:pPr>
            <w:r w:rsidRPr="00ED0618">
              <w:rPr>
                <w:rFonts w:cstheme="minorHAnsi"/>
                <w:lang w:val="en" w:eastAsia="en-AU"/>
              </w:rPr>
              <w:t>25 (9.5%)</w:t>
            </w:r>
          </w:p>
        </w:tc>
      </w:tr>
      <w:tr w:rsidR="00106E54" w:rsidRPr="00ED0618" w14:paraId="21993FBE" w14:textId="77777777" w:rsidTr="00547014">
        <w:trPr>
          <w:trHeight w:val="340"/>
        </w:trPr>
        <w:tc>
          <w:tcPr>
            <w:tcW w:w="3638" w:type="pct"/>
          </w:tcPr>
          <w:p w14:paraId="5AB08B71" w14:textId="77777777" w:rsidR="00106E54" w:rsidRPr="00ED0618" w:rsidRDefault="00106E54" w:rsidP="007C36E4">
            <w:pPr>
              <w:rPr>
                <w:rFonts w:cstheme="minorHAnsi"/>
                <w:lang w:val="en" w:eastAsia="en-AU"/>
              </w:rPr>
            </w:pPr>
            <w:r>
              <w:rPr>
                <w:rFonts w:cstheme="minorHAnsi"/>
                <w:lang w:val="en" w:eastAsia="en-AU"/>
              </w:rPr>
              <w:t>Personal care worker</w:t>
            </w:r>
          </w:p>
        </w:tc>
        <w:tc>
          <w:tcPr>
            <w:tcW w:w="1362" w:type="pct"/>
          </w:tcPr>
          <w:p w14:paraId="41E24C63" w14:textId="77777777" w:rsidR="00106E54" w:rsidRPr="00ED0618" w:rsidRDefault="00106E54" w:rsidP="007C36E4">
            <w:pPr>
              <w:rPr>
                <w:rFonts w:cstheme="minorHAnsi"/>
                <w:lang w:val="en" w:eastAsia="en-AU"/>
              </w:rPr>
            </w:pPr>
            <w:r>
              <w:rPr>
                <w:rFonts w:cstheme="minorHAnsi"/>
                <w:lang w:val="en" w:eastAsia="en-AU"/>
              </w:rPr>
              <w:t>13 (4.9%)</w:t>
            </w:r>
          </w:p>
        </w:tc>
      </w:tr>
      <w:tr w:rsidR="00106E54" w:rsidRPr="00ED0618" w14:paraId="513035FA" w14:textId="77777777" w:rsidTr="00547014">
        <w:trPr>
          <w:trHeight w:val="340"/>
        </w:trPr>
        <w:tc>
          <w:tcPr>
            <w:tcW w:w="3638" w:type="pct"/>
          </w:tcPr>
          <w:p w14:paraId="0F2F2455" w14:textId="77777777" w:rsidR="00106E54" w:rsidRPr="00ED0618" w:rsidRDefault="00106E54" w:rsidP="007C36E4">
            <w:pPr>
              <w:rPr>
                <w:rFonts w:cstheme="minorHAnsi"/>
                <w:lang w:val="en" w:eastAsia="en-AU"/>
              </w:rPr>
            </w:pPr>
            <w:r>
              <w:rPr>
                <w:rFonts w:cstheme="minorHAnsi"/>
                <w:lang w:val="en" w:eastAsia="en-AU"/>
              </w:rPr>
              <w:t>Other aged care worker/professional</w:t>
            </w:r>
          </w:p>
        </w:tc>
        <w:tc>
          <w:tcPr>
            <w:tcW w:w="1362" w:type="pct"/>
          </w:tcPr>
          <w:p w14:paraId="1E918F39" w14:textId="77777777" w:rsidR="00106E54" w:rsidRPr="00ED0618" w:rsidRDefault="00106E54" w:rsidP="007C36E4">
            <w:pPr>
              <w:rPr>
                <w:rFonts w:cstheme="minorHAnsi"/>
                <w:lang w:val="en" w:eastAsia="en-AU"/>
              </w:rPr>
            </w:pPr>
            <w:r>
              <w:rPr>
                <w:rFonts w:cstheme="minorHAnsi"/>
                <w:lang w:val="en" w:eastAsia="en-AU"/>
              </w:rPr>
              <w:t>107 (40.5%)</w:t>
            </w:r>
          </w:p>
        </w:tc>
      </w:tr>
      <w:tr w:rsidR="00106E54" w:rsidRPr="00ED0618" w14:paraId="235BF67F" w14:textId="77777777" w:rsidTr="00547014">
        <w:trPr>
          <w:trHeight w:val="340"/>
        </w:trPr>
        <w:tc>
          <w:tcPr>
            <w:tcW w:w="3638" w:type="pct"/>
          </w:tcPr>
          <w:p w14:paraId="4193A178" w14:textId="77777777" w:rsidR="00106E54" w:rsidRPr="00ED0618" w:rsidRDefault="00106E54" w:rsidP="007C36E4">
            <w:pPr>
              <w:rPr>
                <w:rFonts w:cstheme="minorHAnsi"/>
                <w:lang w:val="en" w:eastAsia="en-AU"/>
              </w:rPr>
            </w:pPr>
            <w:r>
              <w:rPr>
                <w:rFonts w:cstheme="minorHAnsi"/>
                <w:lang w:val="en" w:eastAsia="en-AU"/>
              </w:rPr>
              <w:t>None of the above</w:t>
            </w:r>
          </w:p>
        </w:tc>
        <w:tc>
          <w:tcPr>
            <w:tcW w:w="1362" w:type="pct"/>
          </w:tcPr>
          <w:p w14:paraId="57A656C7" w14:textId="77777777" w:rsidR="00106E54" w:rsidRPr="00ED0618" w:rsidRDefault="00106E54" w:rsidP="007C36E4">
            <w:pPr>
              <w:rPr>
                <w:rFonts w:cstheme="minorHAnsi"/>
                <w:lang w:val="en" w:eastAsia="en-AU"/>
              </w:rPr>
            </w:pPr>
            <w:r>
              <w:rPr>
                <w:rFonts w:cstheme="minorHAnsi"/>
                <w:lang w:val="en" w:eastAsia="en-AU"/>
              </w:rPr>
              <w:t>16 (6.1%)</w:t>
            </w:r>
          </w:p>
        </w:tc>
      </w:tr>
      <w:tr w:rsidR="00106E54" w:rsidRPr="00ED0618" w14:paraId="08190FB9" w14:textId="77777777" w:rsidTr="00547014">
        <w:trPr>
          <w:trHeight w:val="340"/>
        </w:trPr>
        <w:tc>
          <w:tcPr>
            <w:tcW w:w="3638" w:type="pct"/>
          </w:tcPr>
          <w:p w14:paraId="1A0C36B0" w14:textId="77777777" w:rsidR="00106E54" w:rsidRDefault="00106E54" w:rsidP="007C36E4">
            <w:pPr>
              <w:rPr>
                <w:rFonts w:cstheme="minorHAnsi"/>
                <w:lang w:val="en" w:eastAsia="en-AU"/>
              </w:rPr>
            </w:pPr>
            <w:r>
              <w:rPr>
                <w:rFonts w:cstheme="minorHAnsi"/>
                <w:lang w:val="en" w:eastAsia="en-AU"/>
              </w:rPr>
              <w:t>Not Answered</w:t>
            </w:r>
          </w:p>
        </w:tc>
        <w:tc>
          <w:tcPr>
            <w:tcW w:w="1362" w:type="pct"/>
          </w:tcPr>
          <w:p w14:paraId="619ABB87" w14:textId="77777777" w:rsidR="00106E54" w:rsidRPr="00ED0618" w:rsidRDefault="00106E54" w:rsidP="007C36E4">
            <w:pPr>
              <w:rPr>
                <w:rFonts w:cstheme="minorHAnsi"/>
                <w:lang w:val="en" w:eastAsia="en-AU"/>
              </w:rPr>
            </w:pPr>
            <w:r>
              <w:rPr>
                <w:rFonts w:cstheme="minorHAnsi"/>
                <w:lang w:val="en" w:eastAsia="en-AU"/>
              </w:rPr>
              <w:t>103 (39.0%)</w:t>
            </w:r>
          </w:p>
        </w:tc>
      </w:tr>
    </w:tbl>
    <w:p w14:paraId="447CF257" w14:textId="77777777" w:rsidR="00106E54" w:rsidRPr="00ED0618" w:rsidRDefault="00106E54" w:rsidP="007C36E4">
      <w:pPr>
        <w:rPr>
          <w:rFonts w:cstheme="minorHAnsi"/>
          <w:bCs/>
          <w:color w:val="000000" w:themeColor="text1"/>
        </w:rPr>
      </w:pPr>
    </w:p>
    <w:p w14:paraId="0869CE0C" w14:textId="77777777" w:rsidR="00106E54" w:rsidRPr="00ED0618" w:rsidRDefault="00106E54" w:rsidP="007C36E4">
      <w:pPr>
        <w:pStyle w:val="Caption"/>
        <w:spacing w:before="0" w:after="0"/>
        <w:rPr>
          <w:rFonts w:cstheme="minorHAnsi"/>
          <w:b w:val="0"/>
          <w:sz w:val="24"/>
          <w:szCs w:val="24"/>
        </w:rPr>
      </w:pPr>
      <w:r w:rsidRPr="00ED0618">
        <w:rPr>
          <w:rFonts w:cstheme="minorHAnsi"/>
          <w:sz w:val="24"/>
          <w:szCs w:val="24"/>
        </w:rPr>
        <w:t>Table 2 Groups that stakeholders identify with</w:t>
      </w:r>
    </w:p>
    <w:p w14:paraId="5E125F0D" w14:textId="77777777" w:rsidR="00106E54" w:rsidRDefault="00106E54" w:rsidP="007C36E4">
      <w:pPr>
        <w:rPr>
          <w:rFonts w:cstheme="minorHAnsi"/>
        </w:rPr>
      </w:pPr>
      <w:r w:rsidRPr="00ED0618">
        <w:rPr>
          <w:rFonts w:cstheme="minorHAnsi"/>
        </w:rPr>
        <w:t xml:space="preserve">Stakeholders were asked if they identify with or belong to one or more of the following groups. Stakeholders were able to select all categories that applied. </w:t>
      </w:r>
    </w:p>
    <w:p w14:paraId="01D55483" w14:textId="77777777" w:rsidR="00106E54" w:rsidRPr="00ED0618" w:rsidRDefault="00106E54" w:rsidP="007C36E4">
      <w:pPr>
        <w:rPr>
          <w:rFonts w:cstheme="minorHAnsi"/>
        </w:rPr>
      </w:pPr>
    </w:p>
    <w:tbl>
      <w:tblPr>
        <w:tblStyle w:val="TableGrid"/>
        <w:tblW w:w="5000" w:type="pct"/>
        <w:tblLook w:val="04A0" w:firstRow="1" w:lastRow="0" w:firstColumn="1" w:lastColumn="0" w:noHBand="0" w:noVBand="1"/>
        <w:tblCaption w:val="Table 3 Type of Service Delivered by Service Providers Responding to Online Survey"/>
        <w:tblDescription w:val="This table describes number of the online survey respondents by service type"/>
      </w:tblPr>
      <w:tblGrid>
        <w:gridCol w:w="7084"/>
        <w:gridCol w:w="2652"/>
      </w:tblGrid>
      <w:tr w:rsidR="00106E54" w:rsidRPr="00ED0618" w14:paraId="32DD0DCD" w14:textId="77777777" w:rsidTr="00547014">
        <w:trPr>
          <w:trHeight w:val="340"/>
        </w:trPr>
        <w:tc>
          <w:tcPr>
            <w:tcW w:w="3638" w:type="pct"/>
            <w:shd w:val="clear" w:color="auto" w:fill="516A8E"/>
          </w:tcPr>
          <w:p w14:paraId="7017D072" w14:textId="77777777" w:rsidR="00106E54" w:rsidRPr="00ED0618" w:rsidRDefault="00106E54" w:rsidP="007C36E4">
            <w:pPr>
              <w:rPr>
                <w:rFonts w:cstheme="minorHAnsi"/>
                <w:b/>
                <w:bCs/>
                <w:color w:val="FFFFFF" w:themeColor="background1"/>
              </w:rPr>
            </w:pPr>
            <w:r w:rsidRPr="00ED0618">
              <w:rPr>
                <w:rFonts w:cstheme="minorHAnsi"/>
                <w:b/>
                <w:bCs/>
                <w:color w:val="FFFFFF" w:themeColor="background1"/>
              </w:rPr>
              <w:t>Group(s) identified with</w:t>
            </w:r>
          </w:p>
        </w:tc>
        <w:tc>
          <w:tcPr>
            <w:tcW w:w="1362" w:type="pct"/>
            <w:shd w:val="clear" w:color="auto" w:fill="516A8E"/>
          </w:tcPr>
          <w:p w14:paraId="5CA4A1B9" w14:textId="77777777" w:rsidR="00106E54" w:rsidRPr="00ED0618" w:rsidRDefault="00106E54" w:rsidP="007C36E4">
            <w:pPr>
              <w:rPr>
                <w:rFonts w:cstheme="minorHAnsi"/>
                <w:b/>
                <w:bCs/>
                <w:color w:val="FFFFFF" w:themeColor="background1"/>
              </w:rPr>
            </w:pPr>
            <w:r w:rsidRPr="00ED0618">
              <w:rPr>
                <w:rFonts w:cstheme="minorHAnsi"/>
                <w:b/>
                <w:bCs/>
                <w:color w:val="FFFFFF" w:themeColor="background1"/>
              </w:rPr>
              <w:t>Online survey responses</w:t>
            </w:r>
          </w:p>
        </w:tc>
      </w:tr>
      <w:tr w:rsidR="00106E54" w:rsidRPr="00ED0618" w14:paraId="6FFA85C0" w14:textId="77777777" w:rsidTr="00547014">
        <w:trPr>
          <w:trHeight w:val="340"/>
        </w:trPr>
        <w:tc>
          <w:tcPr>
            <w:tcW w:w="3638" w:type="pct"/>
          </w:tcPr>
          <w:p w14:paraId="656731E9" w14:textId="77777777" w:rsidR="00106E54" w:rsidRPr="00ED0618" w:rsidRDefault="00106E54" w:rsidP="007C36E4">
            <w:pPr>
              <w:rPr>
                <w:rFonts w:cstheme="minorHAnsi"/>
              </w:rPr>
            </w:pPr>
            <w:r w:rsidRPr="00ED0618">
              <w:rPr>
                <w:rFonts w:cstheme="minorHAnsi"/>
              </w:rPr>
              <w:t xml:space="preserve">People from Aboriginal and/or Torres Strait Islander communities </w:t>
            </w:r>
          </w:p>
        </w:tc>
        <w:tc>
          <w:tcPr>
            <w:tcW w:w="1362" w:type="pct"/>
          </w:tcPr>
          <w:p w14:paraId="42F29993" w14:textId="77777777" w:rsidR="00106E54" w:rsidRPr="00ED0618" w:rsidRDefault="00106E54" w:rsidP="007C36E4">
            <w:pPr>
              <w:rPr>
                <w:rFonts w:cstheme="minorHAnsi"/>
              </w:rPr>
            </w:pPr>
            <w:r>
              <w:rPr>
                <w:rFonts w:cstheme="minorHAnsi"/>
              </w:rPr>
              <w:t>6 (2.3%)</w:t>
            </w:r>
          </w:p>
        </w:tc>
      </w:tr>
      <w:tr w:rsidR="00106E54" w:rsidRPr="00ED0618" w14:paraId="3A43B4BB" w14:textId="77777777" w:rsidTr="00547014">
        <w:trPr>
          <w:trHeight w:val="340"/>
        </w:trPr>
        <w:tc>
          <w:tcPr>
            <w:tcW w:w="3638" w:type="pct"/>
          </w:tcPr>
          <w:p w14:paraId="78E9FF6C" w14:textId="77777777" w:rsidR="00106E54" w:rsidRPr="00ED0618" w:rsidRDefault="00106E54" w:rsidP="007C36E4">
            <w:pPr>
              <w:rPr>
                <w:rFonts w:cstheme="minorHAnsi"/>
              </w:rPr>
            </w:pPr>
            <w:r w:rsidRPr="00ED0618">
              <w:rPr>
                <w:rFonts w:cstheme="minorHAnsi"/>
              </w:rPr>
              <w:t xml:space="preserve">People from culturally and linguistically diverse (CALD) backgrounds </w:t>
            </w:r>
          </w:p>
        </w:tc>
        <w:tc>
          <w:tcPr>
            <w:tcW w:w="1362" w:type="pct"/>
          </w:tcPr>
          <w:p w14:paraId="43F8C8FF" w14:textId="77777777" w:rsidR="00106E54" w:rsidRPr="00ED0618" w:rsidRDefault="00106E54" w:rsidP="007C36E4">
            <w:pPr>
              <w:rPr>
                <w:rFonts w:cstheme="minorHAnsi"/>
              </w:rPr>
            </w:pPr>
            <w:r>
              <w:rPr>
                <w:rFonts w:cstheme="minorHAnsi"/>
              </w:rPr>
              <w:t>21 (8.0%)</w:t>
            </w:r>
          </w:p>
        </w:tc>
      </w:tr>
      <w:tr w:rsidR="00106E54" w:rsidRPr="00ED0618" w14:paraId="01457BD9" w14:textId="77777777" w:rsidTr="00547014">
        <w:trPr>
          <w:trHeight w:val="340"/>
        </w:trPr>
        <w:tc>
          <w:tcPr>
            <w:tcW w:w="3638" w:type="pct"/>
          </w:tcPr>
          <w:p w14:paraId="52793875" w14:textId="77777777" w:rsidR="00106E54" w:rsidRPr="00ED0618" w:rsidRDefault="00106E54" w:rsidP="007C36E4">
            <w:pPr>
              <w:rPr>
                <w:rFonts w:cstheme="minorHAnsi"/>
              </w:rPr>
            </w:pPr>
            <w:r w:rsidRPr="00ED0618">
              <w:rPr>
                <w:rFonts w:cstheme="minorHAnsi"/>
              </w:rPr>
              <w:t xml:space="preserve">People who live in rural or remote areas </w:t>
            </w:r>
          </w:p>
        </w:tc>
        <w:tc>
          <w:tcPr>
            <w:tcW w:w="1362" w:type="pct"/>
          </w:tcPr>
          <w:p w14:paraId="0F77C822" w14:textId="77777777" w:rsidR="00106E54" w:rsidRPr="00ED0618" w:rsidRDefault="00106E54" w:rsidP="007C36E4">
            <w:pPr>
              <w:rPr>
                <w:rFonts w:cstheme="minorHAnsi"/>
              </w:rPr>
            </w:pPr>
            <w:r>
              <w:rPr>
                <w:rFonts w:cstheme="minorHAnsi"/>
              </w:rPr>
              <w:t>43 (16.3%)</w:t>
            </w:r>
          </w:p>
        </w:tc>
      </w:tr>
      <w:tr w:rsidR="00106E54" w:rsidRPr="00ED0618" w14:paraId="67A7AFE6" w14:textId="77777777" w:rsidTr="00547014">
        <w:trPr>
          <w:trHeight w:val="340"/>
        </w:trPr>
        <w:tc>
          <w:tcPr>
            <w:tcW w:w="3638" w:type="pct"/>
          </w:tcPr>
          <w:p w14:paraId="61ACEFD9" w14:textId="77777777" w:rsidR="00106E54" w:rsidRPr="00ED0618" w:rsidRDefault="00106E54" w:rsidP="007C36E4">
            <w:pPr>
              <w:rPr>
                <w:rFonts w:cstheme="minorHAnsi"/>
              </w:rPr>
            </w:pPr>
            <w:r w:rsidRPr="00ED0618">
              <w:rPr>
                <w:rFonts w:cstheme="minorHAnsi"/>
              </w:rPr>
              <w:t xml:space="preserve">People who are financially or socially disadvantaged </w:t>
            </w:r>
          </w:p>
        </w:tc>
        <w:tc>
          <w:tcPr>
            <w:tcW w:w="1362" w:type="pct"/>
          </w:tcPr>
          <w:p w14:paraId="427A44A1" w14:textId="77777777" w:rsidR="00106E54" w:rsidRPr="00ED0618" w:rsidRDefault="00106E54" w:rsidP="007C36E4">
            <w:pPr>
              <w:rPr>
                <w:rFonts w:cstheme="minorHAnsi"/>
              </w:rPr>
            </w:pPr>
            <w:r>
              <w:rPr>
                <w:rFonts w:cstheme="minorHAnsi"/>
              </w:rPr>
              <w:t>10 (3.8%)</w:t>
            </w:r>
          </w:p>
        </w:tc>
      </w:tr>
      <w:tr w:rsidR="00106E54" w:rsidRPr="00ED0618" w14:paraId="4123D780" w14:textId="77777777" w:rsidTr="00547014">
        <w:trPr>
          <w:trHeight w:val="340"/>
        </w:trPr>
        <w:tc>
          <w:tcPr>
            <w:tcW w:w="3638" w:type="pct"/>
          </w:tcPr>
          <w:p w14:paraId="2713FB79" w14:textId="77777777" w:rsidR="00106E54" w:rsidRPr="00ED0618" w:rsidRDefault="00106E54" w:rsidP="007C36E4">
            <w:pPr>
              <w:rPr>
                <w:rFonts w:cstheme="minorHAnsi"/>
              </w:rPr>
            </w:pPr>
            <w:r w:rsidRPr="00ED0618">
              <w:rPr>
                <w:rFonts w:cstheme="minorHAnsi"/>
              </w:rPr>
              <w:t xml:space="preserve">People who are veterans of the Australian Defence Force or an allied defence force including the spouse, widow or widower of a veteran </w:t>
            </w:r>
          </w:p>
        </w:tc>
        <w:tc>
          <w:tcPr>
            <w:tcW w:w="1362" w:type="pct"/>
          </w:tcPr>
          <w:p w14:paraId="44A32088" w14:textId="77777777" w:rsidR="00106E54" w:rsidRPr="00ED0618" w:rsidRDefault="00106E54" w:rsidP="007C36E4">
            <w:pPr>
              <w:rPr>
                <w:rFonts w:cstheme="minorHAnsi"/>
              </w:rPr>
            </w:pPr>
            <w:r>
              <w:rPr>
                <w:rFonts w:cstheme="minorHAnsi"/>
              </w:rPr>
              <w:t>10 (3.8%)</w:t>
            </w:r>
          </w:p>
        </w:tc>
      </w:tr>
      <w:tr w:rsidR="00106E54" w:rsidRPr="00ED0618" w14:paraId="232F11B2" w14:textId="77777777" w:rsidTr="00547014">
        <w:trPr>
          <w:trHeight w:val="340"/>
        </w:trPr>
        <w:tc>
          <w:tcPr>
            <w:tcW w:w="3638" w:type="pct"/>
          </w:tcPr>
          <w:p w14:paraId="170F1807" w14:textId="77777777" w:rsidR="00106E54" w:rsidRPr="00ED0618" w:rsidRDefault="00106E54" w:rsidP="007C36E4">
            <w:pPr>
              <w:rPr>
                <w:rFonts w:cstheme="minorHAnsi"/>
              </w:rPr>
            </w:pPr>
            <w:r w:rsidRPr="00ED0618">
              <w:rPr>
                <w:rFonts w:cstheme="minorHAnsi"/>
              </w:rPr>
              <w:t xml:space="preserve">People who are homeless, or at risk of homelessness </w:t>
            </w:r>
          </w:p>
        </w:tc>
        <w:tc>
          <w:tcPr>
            <w:tcW w:w="1362" w:type="pct"/>
          </w:tcPr>
          <w:p w14:paraId="391985CE" w14:textId="77777777" w:rsidR="00106E54" w:rsidRPr="00ED0618" w:rsidRDefault="00106E54" w:rsidP="007C36E4">
            <w:pPr>
              <w:rPr>
                <w:rFonts w:cstheme="minorHAnsi"/>
              </w:rPr>
            </w:pPr>
            <w:r>
              <w:rPr>
                <w:rFonts w:cstheme="minorHAnsi"/>
              </w:rPr>
              <w:t>1 (0.4%)</w:t>
            </w:r>
          </w:p>
        </w:tc>
      </w:tr>
      <w:tr w:rsidR="00106E54" w:rsidRPr="00ED0618" w14:paraId="3C2419AD" w14:textId="77777777" w:rsidTr="00547014">
        <w:trPr>
          <w:trHeight w:val="340"/>
        </w:trPr>
        <w:tc>
          <w:tcPr>
            <w:tcW w:w="3638" w:type="pct"/>
          </w:tcPr>
          <w:p w14:paraId="5FC695AE" w14:textId="77777777" w:rsidR="00106E54" w:rsidRPr="00ED0618" w:rsidRDefault="00106E54" w:rsidP="007C36E4">
            <w:pPr>
              <w:rPr>
                <w:rFonts w:cstheme="minorHAnsi"/>
              </w:rPr>
            </w:pPr>
            <w:r w:rsidRPr="00ED0618">
              <w:rPr>
                <w:rFonts w:cstheme="minorHAnsi"/>
              </w:rPr>
              <w:t xml:space="preserve">People who are care leavers (which includes Forgotten Australians, Former Child Migrants and Stolen Generations) </w:t>
            </w:r>
          </w:p>
        </w:tc>
        <w:tc>
          <w:tcPr>
            <w:tcW w:w="1362" w:type="pct"/>
          </w:tcPr>
          <w:p w14:paraId="60692101" w14:textId="77777777" w:rsidR="00106E54" w:rsidRPr="00ED0618" w:rsidRDefault="00106E54" w:rsidP="007C36E4">
            <w:pPr>
              <w:rPr>
                <w:rFonts w:cstheme="minorHAnsi"/>
              </w:rPr>
            </w:pPr>
            <w:r>
              <w:rPr>
                <w:rFonts w:cstheme="minorHAnsi"/>
              </w:rPr>
              <w:t>6 (2.3%)</w:t>
            </w:r>
          </w:p>
        </w:tc>
      </w:tr>
      <w:tr w:rsidR="00106E54" w:rsidRPr="00ED0618" w14:paraId="27D4DAAB" w14:textId="77777777" w:rsidTr="00547014">
        <w:trPr>
          <w:trHeight w:val="340"/>
        </w:trPr>
        <w:tc>
          <w:tcPr>
            <w:tcW w:w="3638" w:type="pct"/>
          </w:tcPr>
          <w:p w14:paraId="4FF9D46B" w14:textId="77777777" w:rsidR="00106E54" w:rsidRPr="00ED0618" w:rsidRDefault="00106E54" w:rsidP="007C36E4">
            <w:pPr>
              <w:rPr>
                <w:rFonts w:cstheme="minorHAnsi"/>
              </w:rPr>
            </w:pPr>
            <w:r w:rsidRPr="00ED0618">
              <w:rPr>
                <w:rFonts w:cstheme="minorHAnsi"/>
              </w:rPr>
              <w:t xml:space="preserve">Parents separated from their children by forced adoption or removal </w:t>
            </w:r>
          </w:p>
        </w:tc>
        <w:tc>
          <w:tcPr>
            <w:tcW w:w="1362" w:type="pct"/>
          </w:tcPr>
          <w:p w14:paraId="3E56ED28" w14:textId="77777777" w:rsidR="00106E54" w:rsidRPr="00ED0618" w:rsidRDefault="00106E54" w:rsidP="007C36E4">
            <w:pPr>
              <w:rPr>
                <w:rFonts w:cstheme="minorHAnsi"/>
              </w:rPr>
            </w:pPr>
            <w:r>
              <w:rPr>
                <w:rFonts w:cstheme="minorHAnsi"/>
              </w:rPr>
              <w:t>5 (1.9%)</w:t>
            </w:r>
          </w:p>
        </w:tc>
      </w:tr>
      <w:tr w:rsidR="00106E54" w:rsidRPr="00ED0618" w14:paraId="77E23D04" w14:textId="77777777" w:rsidTr="00547014">
        <w:trPr>
          <w:trHeight w:val="340"/>
        </w:trPr>
        <w:tc>
          <w:tcPr>
            <w:tcW w:w="3638" w:type="pct"/>
          </w:tcPr>
          <w:p w14:paraId="2BD5A25F" w14:textId="77777777" w:rsidR="00106E54" w:rsidRPr="00ED0618" w:rsidRDefault="00106E54" w:rsidP="007C36E4">
            <w:pPr>
              <w:rPr>
                <w:rFonts w:cstheme="minorHAnsi"/>
              </w:rPr>
            </w:pPr>
            <w:r w:rsidRPr="00ED0618">
              <w:rPr>
                <w:rFonts w:cstheme="minorHAnsi"/>
              </w:rPr>
              <w:t xml:space="preserve">People from lesbian, gay, bisexual, trans/transgender and intersex (LGBTI) communities </w:t>
            </w:r>
          </w:p>
        </w:tc>
        <w:tc>
          <w:tcPr>
            <w:tcW w:w="1362" w:type="pct"/>
          </w:tcPr>
          <w:p w14:paraId="3DC2DE98" w14:textId="77777777" w:rsidR="00106E54" w:rsidRPr="00ED0618" w:rsidRDefault="00106E54" w:rsidP="007C36E4">
            <w:pPr>
              <w:rPr>
                <w:rFonts w:cstheme="minorHAnsi"/>
              </w:rPr>
            </w:pPr>
            <w:r>
              <w:rPr>
                <w:rFonts w:cstheme="minorHAnsi"/>
              </w:rPr>
              <w:t>13 (4.9%)</w:t>
            </w:r>
          </w:p>
        </w:tc>
      </w:tr>
      <w:tr w:rsidR="00106E54" w:rsidRPr="00ED0618" w14:paraId="00875BBA" w14:textId="77777777" w:rsidTr="00547014">
        <w:trPr>
          <w:trHeight w:val="340"/>
        </w:trPr>
        <w:tc>
          <w:tcPr>
            <w:tcW w:w="3638" w:type="pct"/>
          </w:tcPr>
          <w:p w14:paraId="3D4BAD74" w14:textId="77777777" w:rsidR="00106E54" w:rsidRPr="00ED0618" w:rsidRDefault="00106E54" w:rsidP="007C36E4">
            <w:pPr>
              <w:rPr>
                <w:rFonts w:cstheme="minorHAnsi"/>
              </w:rPr>
            </w:pPr>
            <w:r w:rsidRPr="00ED0618">
              <w:rPr>
                <w:rFonts w:cstheme="minorHAnsi"/>
              </w:rPr>
              <w:t>People living with dementia</w:t>
            </w:r>
          </w:p>
        </w:tc>
        <w:tc>
          <w:tcPr>
            <w:tcW w:w="1362" w:type="pct"/>
          </w:tcPr>
          <w:p w14:paraId="1B49FD4E" w14:textId="77777777" w:rsidR="00106E54" w:rsidRPr="00ED0618" w:rsidRDefault="00106E54" w:rsidP="007C36E4">
            <w:pPr>
              <w:rPr>
                <w:rFonts w:cstheme="minorHAnsi"/>
              </w:rPr>
            </w:pPr>
            <w:r>
              <w:rPr>
                <w:rFonts w:cstheme="minorHAnsi"/>
              </w:rPr>
              <w:t>18 (6.8%)</w:t>
            </w:r>
          </w:p>
        </w:tc>
      </w:tr>
      <w:tr w:rsidR="00106E54" w:rsidRPr="00ED0618" w14:paraId="2C969F7B" w14:textId="77777777" w:rsidTr="00547014">
        <w:trPr>
          <w:trHeight w:val="340"/>
        </w:trPr>
        <w:tc>
          <w:tcPr>
            <w:tcW w:w="3638" w:type="pct"/>
          </w:tcPr>
          <w:p w14:paraId="63D69F7F" w14:textId="77777777" w:rsidR="00106E54" w:rsidRPr="00ED0618" w:rsidRDefault="00106E54" w:rsidP="007C36E4">
            <w:pPr>
              <w:rPr>
                <w:rFonts w:cstheme="minorHAnsi"/>
                <w:b/>
              </w:rPr>
            </w:pPr>
            <w:r w:rsidRPr="00ED0618">
              <w:rPr>
                <w:rFonts w:cstheme="minorHAnsi"/>
              </w:rPr>
              <w:t>Not Answered</w:t>
            </w:r>
          </w:p>
        </w:tc>
        <w:tc>
          <w:tcPr>
            <w:tcW w:w="1362" w:type="pct"/>
          </w:tcPr>
          <w:p w14:paraId="3BB1BC6E" w14:textId="77777777" w:rsidR="00106E54" w:rsidRPr="00ED0618" w:rsidRDefault="00106E54" w:rsidP="007C36E4">
            <w:pPr>
              <w:rPr>
                <w:rFonts w:cstheme="minorHAnsi"/>
              </w:rPr>
            </w:pPr>
            <w:r>
              <w:rPr>
                <w:rFonts w:cstheme="minorHAnsi"/>
              </w:rPr>
              <w:t>195 (73.9%)</w:t>
            </w:r>
          </w:p>
        </w:tc>
      </w:tr>
    </w:tbl>
    <w:p w14:paraId="23CC0BA8" w14:textId="77777777" w:rsidR="009649D2" w:rsidRDefault="009649D2" w:rsidP="007C36E4">
      <w:pPr>
        <w:pStyle w:val="Caption"/>
        <w:spacing w:before="0" w:after="0"/>
        <w:rPr>
          <w:rFonts w:cstheme="minorHAnsi"/>
          <w:sz w:val="24"/>
          <w:szCs w:val="24"/>
        </w:rPr>
      </w:pPr>
    </w:p>
    <w:p w14:paraId="6BFA1D38" w14:textId="51722A42" w:rsidR="00106E54" w:rsidRPr="00ED0618" w:rsidRDefault="00106E54" w:rsidP="007C36E4">
      <w:pPr>
        <w:pStyle w:val="Caption"/>
        <w:spacing w:before="0" w:after="0"/>
        <w:rPr>
          <w:rFonts w:cstheme="minorHAnsi"/>
          <w:b w:val="0"/>
          <w:sz w:val="24"/>
          <w:szCs w:val="24"/>
        </w:rPr>
      </w:pPr>
      <w:r w:rsidRPr="00ED0618">
        <w:rPr>
          <w:rFonts w:cstheme="minorHAnsi"/>
          <w:sz w:val="24"/>
          <w:szCs w:val="24"/>
        </w:rPr>
        <w:t xml:space="preserve">Table </w:t>
      </w:r>
      <w:r>
        <w:rPr>
          <w:rFonts w:cstheme="minorHAnsi"/>
          <w:sz w:val="24"/>
          <w:szCs w:val="24"/>
        </w:rPr>
        <w:t>3</w:t>
      </w:r>
      <w:r w:rsidRPr="00ED0618">
        <w:rPr>
          <w:rFonts w:cstheme="minorHAnsi"/>
          <w:sz w:val="24"/>
          <w:szCs w:val="24"/>
        </w:rPr>
        <w:t xml:space="preserve"> Location of stakeholders </w:t>
      </w:r>
      <w:r>
        <w:rPr>
          <w:rFonts w:cstheme="minorHAnsi"/>
          <w:sz w:val="24"/>
          <w:szCs w:val="24"/>
        </w:rPr>
        <w:t>(by state and territory)</w:t>
      </w:r>
      <w:r w:rsidRPr="00ED0618">
        <w:rPr>
          <w:rFonts w:cstheme="minorHAnsi"/>
          <w:sz w:val="24"/>
          <w:szCs w:val="24"/>
        </w:rPr>
        <w:t xml:space="preserve"> </w:t>
      </w:r>
    </w:p>
    <w:p w14:paraId="753FD651" w14:textId="77777777" w:rsidR="00106E54" w:rsidRDefault="00106E54" w:rsidP="007C36E4">
      <w:pPr>
        <w:rPr>
          <w:rFonts w:cstheme="minorHAnsi"/>
        </w:rPr>
      </w:pPr>
      <w:r w:rsidRPr="00ED0618">
        <w:rPr>
          <w:rFonts w:cstheme="minorHAnsi"/>
        </w:rPr>
        <w:t xml:space="preserve">Stakeholders were asked </w:t>
      </w:r>
      <w:r>
        <w:rPr>
          <w:rFonts w:cstheme="minorHAnsi"/>
        </w:rPr>
        <w:t>which state or territory they currently reside</w:t>
      </w:r>
      <w:r w:rsidRPr="00ED0618">
        <w:rPr>
          <w:rFonts w:cstheme="minorHAnsi"/>
        </w:rPr>
        <w:t xml:space="preserve"> </w:t>
      </w:r>
      <w:r>
        <w:rPr>
          <w:rFonts w:cstheme="minorHAnsi"/>
        </w:rPr>
        <w:t>in</w:t>
      </w:r>
      <w:r w:rsidRPr="00ED0618">
        <w:rPr>
          <w:rFonts w:cstheme="minorHAnsi"/>
        </w:rPr>
        <w:t>.</w:t>
      </w:r>
    </w:p>
    <w:p w14:paraId="2D0DCDB3" w14:textId="77777777" w:rsidR="00106E54" w:rsidRPr="00ED0618" w:rsidRDefault="00106E54" w:rsidP="007C36E4">
      <w:pPr>
        <w:rPr>
          <w:rFonts w:cstheme="minorHAnsi"/>
        </w:rPr>
      </w:pPr>
    </w:p>
    <w:tbl>
      <w:tblPr>
        <w:tblStyle w:val="TableGrid"/>
        <w:tblW w:w="5000" w:type="pct"/>
        <w:tblLook w:val="04A0" w:firstRow="1" w:lastRow="0" w:firstColumn="1" w:lastColumn="0" w:noHBand="0" w:noVBand="1"/>
        <w:tblCaption w:val="Table 2 Location Respondents to Online Survey Lives or Operates"/>
        <w:tblDescription w:val="This table describes the number of online survey respondents who have not answered their location"/>
      </w:tblPr>
      <w:tblGrid>
        <w:gridCol w:w="7084"/>
        <w:gridCol w:w="2652"/>
      </w:tblGrid>
      <w:tr w:rsidR="00106E54" w:rsidRPr="00ED0618" w14:paraId="14667FB4" w14:textId="77777777" w:rsidTr="00547014">
        <w:trPr>
          <w:trHeight w:val="340"/>
        </w:trPr>
        <w:tc>
          <w:tcPr>
            <w:tcW w:w="3638" w:type="pct"/>
            <w:shd w:val="clear" w:color="auto" w:fill="516A8E"/>
          </w:tcPr>
          <w:p w14:paraId="059911A4" w14:textId="77777777" w:rsidR="00106E54" w:rsidRPr="00ED0618" w:rsidRDefault="00106E54" w:rsidP="007C36E4">
            <w:pPr>
              <w:keepNext/>
              <w:rPr>
                <w:rFonts w:cstheme="minorHAnsi"/>
                <w:b/>
                <w:bCs/>
                <w:color w:val="FFFFFF" w:themeColor="background1"/>
              </w:rPr>
            </w:pPr>
            <w:r w:rsidRPr="00ED0618">
              <w:rPr>
                <w:rFonts w:cstheme="minorHAnsi"/>
                <w:b/>
                <w:bCs/>
                <w:color w:val="FFFFFF" w:themeColor="background1"/>
              </w:rPr>
              <w:lastRenderedPageBreak/>
              <w:t>Location of stakeholder</w:t>
            </w:r>
            <w:r>
              <w:rPr>
                <w:rFonts w:cstheme="minorHAnsi"/>
                <w:b/>
                <w:bCs/>
                <w:color w:val="FFFFFF" w:themeColor="background1"/>
              </w:rPr>
              <w:t>s</w:t>
            </w:r>
          </w:p>
        </w:tc>
        <w:tc>
          <w:tcPr>
            <w:tcW w:w="1362" w:type="pct"/>
            <w:shd w:val="clear" w:color="auto" w:fill="516A8E"/>
          </w:tcPr>
          <w:p w14:paraId="5C466A3D" w14:textId="77777777" w:rsidR="00106E54" w:rsidRPr="00ED0618" w:rsidRDefault="00106E54" w:rsidP="007C36E4">
            <w:pPr>
              <w:rPr>
                <w:rFonts w:cstheme="minorHAnsi"/>
                <w:b/>
                <w:bCs/>
                <w:color w:val="FFFFFF" w:themeColor="background1"/>
              </w:rPr>
            </w:pPr>
            <w:r w:rsidRPr="00ED0618">
              <w:rPr>
                <w:rFonts w:cstheme="minorHAnsi"/>
                <w:b/>
                <w:bCs/>
                <w:color w:val="FFFFFF" w:themeColor="background1"/>
              </w:rPr>
              <w:t xml:space="preserve">Online survey responses </w:t>
            </w:r>
          </w:p>
        </w:tc>
      </w:tr>
      <w:tr w:rsidR="00106E54" w:rsidRPr="00ED0618" w14:paraId="42FC7ACA" w14:textId="77777777" w:rsidTr="00547014">
        <w:trPr>
          <w:trHeight w:val="340"/>
        </w:trPr>
        <w:tc>
          <w:tcPr>
            <w:tcW w:w="3638" w:type="pct"/>
          </w:tcPr>
          <w:p w14:paraId="3B3DD231" w14:textId="77777777" w:rsidR="00106E54" w:rsidRPr="00ED0618" w:rsidRDefault="00106E54" w:rsidP="007C36E4">
            <w:pPr>
              <w:keepNext/>
              <w:rPr>
                <w:rFonts w:cstheme="minorHAnsi"/>
              </w:rPr>
            </w:pPr>
            <w:r w:rsidRPr="00ED0618">
              <w:rPr>
                <w:rFonts w:cstheme="minorHAnsi"/>
              </w:rPr>
              <w:t>NSW</w:t>
            </w:r>
          </w:p>
        </w:tc>
        <w:tc>
          <w:tcPr>
            <w:tcW w:w="1362" w:type="pct"/>
          </w:tcPr>
          <w:p w14:paraId="4DB56550" w14:textId="77777777" w:rsidR="00106E54" w:rsidRPr="00ED0618" w:rsidRDefault="00106E54" w:rsidP="007C36E4">
            <w:pPr>
              <w:rPr>
                <w:rFonts w:cstheme="minorHAnsi"/>
              </w:rPr>
            </w:pPr>
            <w:r>
              <w:rPr>
                <w:rFonts w:cstheme="minorHAnsi"/>
              </w:rPr>
              <w:t>43 (16.3%)</w:t>
            </w:r>
          </w:p>
        </w:tc>
      </w:tr>
      <w:tr w:rsidR="00106E54" w:rsidRPr="00ED0618" w14:paraId="058287C8" w14:textId="77777777" w:rsidTr="00547014">
        <w:trPr>
          <w:trHeight w:val="340"/>
        </w:trPr>
        <w:tc>
          <w:tcPr>
            <w:tcW w:w="3638" w:type="pct"/>
          </w:tcPr>
          <w:p w14:paraId="6AFF7138" w14:textId="77777777" w:rsidR="00106E54" w:rsidRPr="00ED0618" w:rsidRDefault="00106E54" w:rsidP="007C36E4">
            <w:pPr>
              <w:rPr>
                <w:rFonts w:cstheme="minorHAnsi"/>
              </w:rPr>
            </w:pPr>
            <w:r w:rsidRPr="00ED0618">
              <w:rPr>
                <w:rFonts w:cstheme="minorHAnsi"/>
              </w:rPr>
              <w:t>VIC</w:t>
            </w:r>
          </w:p>
        </w:tc>
        <w:tc>
          <w:tcPr>
            <w:tcW w:w="1362" w:type="pct"/>
          </w:tcPr>
          <w:p w14:paraId="64A76961" w14:textId="77777777" w:rsidR="00106E54" w:rsidRPr="00ED0618" w:rsidRDefault="00106E54" w:rsidP="007C36E4">
            <w:pPr>
              <w:rPr>
                <w:rFonts w:cstheme="minorHAnsi"/>
              </w:rPr>
            </w:pPr>
            <w:r>
              <w:rPr>
                <w:rFonts w:cstheme="minorHAnsi"/>
              </w:rPr>
              <w:t>41 (15.5%)</w:t>
            </w:r>
          </w:p>
        </w:tc>
      </w:tr>
      <w:tr w:rsidR="00106E54" w:rsidRPr="00ED0618" w14:paraId="77544340" w14:textId="77777777" w:rsidTr="00547014">
        <w:trPr>
          <w:trHeight w:val="340"/>
        </w:trPr>
        <w:tc>
          <w:tcPr>
            <w:tcW w:w="3638" w:type="pct"/>
          </w:tcPr>
          <w:p w14:paraId="7B9FB974" w14:textId="77777777" w:rsidR="00106E54" w:rsidRPr="00ED0618" w:rsidRDefault="00106E54" w:rsidP="007C36E4">
            <w:pPr>
              <w:rPr>
                <w:rFonts w:cstheme="minorHAnsi"/>
              </w:rPr>
            </w:pPr>
            <w:r w:rsidRPr="00ED0618">
              <w:rPr>
                <w:rFonts w:cstheme="minorHAnsi"/>
              </w:rPr>
              <w:t>QLD</w:t>
            </w:r>
          </w:p>
        </w:tc>
        <w:tc>
          <w:tcPr>
            <w:tcW w:w="1362" w:type="pct"/>
          </w:tcPr>
          <w:p w14:paraId="399A8104" w14:textId="77777777" w:rsidR="00106E54" w:rsidRPr="00ED0618" w:rsidRDefault="00106E54" w:rsidP="007C36E4">
            <w:pPr>
              <w:rPr>
                <w:rFonts w:cstheme="minorHAnsi"/>
              </w:rPr>
            </w:pPr>
            <w:r>
              <w:rPr>
                <w:rFonts w:cstheme="minorHAnsi"/>
              </w:rPr>
              <w:t>30 (11.4%)</w:t>
            </w:r>
          </w:p>
        </w:tc>
      </w:tr>
      <w:tr w:rsidR="00106E54" w:rsidRPr="00ED0618" w14:paraId="7D7FE1DB" w14:textId="77777777" w:rsidTr="00547014">
        <w:trPr>
          <w:trHeight w:val="340"/>
        </w:trPr>
        <w:tc>
          <w:tcPr>
            <w:tcW w:w="3638" w:type="pct"/>
          </w:tcPr>
          <w:p w14:paraId="76A4F56B" w14:textId="77777777" w:rsidR="00106E54" w:rsidRPr="00ED0618" w:rsidRDefault="00106E54" w:rsidP="007C36E4">
            <w:pPr>
              <w:rPr>
                <w:rFonts w:cstheme="minorHAnsi"/>
              </w:rPr>
            </w:pPr>
            <w:r w:rsidRPr="00ED0618">
              <w:rPr>
                <w:rFonts w:cstheme="minorHAnsi"/>
              </w:rPr>
              <w:t>WA</w:t>
            </w:r>
          </w:p>
        </w:tc>
        <w:tc>
          <w:tcPr>
            <w:tcW w:w="1362" w:type="pct"/>
          </w:tcPr>
          <w:p w14:paraId="3167FDC9" w14:textId="77777777" w:rsidR="00106E54" w:rsidRPr="00ED0618" w:rsidRDefault="00106E54" w:rsidP="007C36E4">
            <w:pPr>
              <w:rPr>
                <w:rFonts w:cstheme="minorHAnsi"/>
                <w:bCs/>
              </w:rPr>
            </w:pPr>
            <w:r>
              <w:rPr>
                <w:rFonts w:cstheme="minorHAnsi"/>
                <w:bCs/>
              </w:rPr>
              <w:t>13 (4.9%)</w:t>
            </w:r>
          </w:p>
        </w:tc>
      </w:tr>
      <w:tr w:rsidR="00106E54" w:rsidRPr="00ED0618" w14:paraId="2A7A44A4" w14:textId="77777777" w:rsidTr="00547014">
        <w:trPr>
          <w:trHeight w:val="340"/>
        </w:trPr>
        <w:tc>
          <w:tcPr>
            <w:tcW w:w="3638" w:type="pct"/>
          </w:tcPr>
          <w:p w14:paraId="2E088698" w14:textId="77777777" w:rsidR="00106E54" w:rsidRPr="00ED0618" w:rsidRDefault="00106E54" w:rsidP="007C36E4">
            <w:pPr>
              <w:rPr>
                <w:rFonts w:cstheme="minorHAnsi"/>
              </w:rPr>
            </w:pPr>
            <w:r w:rsidRPr="00ED0618">
              <w:rPr>
                <w:rFonts w:cstheme="minorHAnsi"/>
              </w:rPr>
              <w:t>SA</w:t>
            </w:r>
          </w:p>
        </w:tc>
        <w:tc>
          <w:tcPr>
            <w:tcW w:w="1362" w:type="pct"/>
          </w:tcPr>
          <w:p w14:paraId="18204EC3" w14:textId="77777777" w:rsidR="00106E54" w:rsidRPr="00ED0618" w:rsidRDefault="00106E54" w:rsidP="007C36E4">
            <w:pPr>
              <w:rPr>
                <w:rFonts w:cstheme="minorHAnsi"/>
                <w:bCs/>
              </w:rPr>
            </w:pPr>
            <w:r>
              <w:rPr>
                <w:rFonts w:cstheme="minorHAnsi"/>
                <w:bCs/>
              </w:rPr>
              <w:t>24 (9.1%)</w:t>
            </w:r>
          </w:p>
        </w:tc>
      </w:tr>
      <w:tr w:rsidR="00106E54" w:rsidRPr="00ED0618" w14:paraId="09608579" w14:textId="77777777" w:rsidTr="00547014">
        <w:trPr>
          <w:trHeight w:val="340"/>
        </w:trPr>
        <w:tc>
          <w:tcPr>
            <w:tcW w:w="3638" w:type="pct"/>
          </w:tcPr>
          <w:p w14:paraId="2FA80B17" w14:textId="77777777" w:rsidR="00106E54" w:rsidRPr="00ED0618" w:rsidRDefault="00106E54" w:rsidP="007C36E4">
            <w:pPr>
              <w:rPr>
                <w:rFonts w:cstheme="minorHAnsi"/>
              </w:rPr>
            </w:pPr>
            <w:r w:rsidRPr="00ED0618">
              <w:rPr>
                <w:rFonts w:cstheme="minorHAnsi"/>
              </w:rPr>
              <w:t>TAS</w:t>
            </w:r>
          </w:p>
        </w:tc>
        <w:tc>
          <w:tcPr>
            <w:tcW w:w="1362" w:type="pct"/>
          </w:tcPr>
          <w:p w14:paraId="5CBE3E15" w14:textId="77777777" w:rsidR="00106E54" w:rsidRPr="00ED0618" w:rsidRDefault="00106E54" w:rsidP="007C36E4">
            <w:pPr>
              <w:rPr>
                <w:rFonts w:cstheme="minorHAnsi"/>
                <w:bCs/>
              </w:rPr>
            </w:pPr>
            <w:r>
              <w:rPr>
                <w:rFonts w:cstheme="minorHAnsi"/>
                <w:bCs/>
              </w:rPr>
              <w:t>5 (1.9%)</w:t>
            </w:r>
          </w:p>
        </w:tc>
      </w:tr>
      <w:tr w:rsidR="00106E54" w:rsidRPr="00ED0618" w14:paraId="0F3D96F2" w14:textId="77777777" w:rsidTr="00547014">
        <w:trPr>
          <w:trHeight w:val="340"/>
        </w:trPr>
        <w:tc>
          <w:tcPr>
            <w:tcW w:w="3638" w:type="pct"/>
          </w:tcPr>
          <w:p w14:paraId="56ED1E44" w14:textId="77777777" w:rsidR="00106E54" w:rsidRPr="00ED0618" w:rsidRDefault="00106E54" w:rsidP="007C36E4">
            <w:pPr>
              <w:rPr>
                <w:rFonts w:cstheme="minorHAnsi"/>
              </w:rPr>
            </w:pPr>
            <w:r w:rsidRPr="00ED0618">
              <w:rPr>
                <w:rFonts w:cstheme="minorHAnsi"/>
              </w:rPr>
              <w:t>ACT</w:t>
            </w:r>
          </w:p>
        </w:tc>
        <w:tc>
          <w:tcPr>
            <w:tcW w:w="1362" w:type="pct"/>
          </w:tcPr>
          <w:p w14:paraId="61AEF017" w14:textId="77777777" w:rsidR="00106E54" w:rsidRPr="00ED0618" w:rsidRDefault="00106E54" w:rsidP="007C36E4">
            <w:pPr>
              <w:rPr>
                <w:rFonts w:cstheme="minorHAnsi"/>
                <w:bCs/>
              </w:rPr>
            </w:pPr>
            <w:r>
              <w:rPr>
                <w:rFonts w:cstheme="minorHAnsi"/>
                <w:bCs/>
              </w:rPr>
              <w:t>3 (1.1%)</w:t>
            </w:r>
          </w:p>
        </w:tc>
      </w:tr>
      <w:tr w:rsidR="00106E54" w:rsidRPr="00ED0618" w14:paraId="7A0990F6" w14:textId="77777777" w:rsidTr="00547014">
        <w:trPr>
          <w:trHeight w:val="340"/>
        </w:trPr>
        <w:tc>
          <w:tcPr>
            <w:tcW w:w="3638" w:type="pct"/>
          </w:tcPr>
          <w:p w14:paraId="48D48DAB" w14:textId="77777777" w:rsidR="00106E54" w:rsidRPr="00ED0618" w:rsidRDefault="00106E54" w:rsidP="007C36E4">
            <w:pPr>
              <w:rPr>
                <w:rFonts w:cstheme="minorHAnsi"/>
              </w:rPr>
            </w:pPr>
            <w:r w:rsidRPr="00ED0618">
              <w:rPr>
                <w:rFonts w:cstheme="minorHAnsi"/>
              </w:rPr>
              <w:t>NT</w:t>
            </w:r>
          </w:p>
        </w:tc>
        <w:tc>
          <w:tcPr>
            <w:tcW w:w="1362" w:type="pct"/>
          </w:tcPr>
          <w:p w14:paraId="1D4BA51A" w14:textId="77777777" w:rsidR="00106E54" w:rsidRPr="00ED0618" w:rsidRDefault="00106E54" w:rsidP="007C36E4">
            <w:pPr>
              <w:rPr>
                <w:rFonts w:cstheme="minorHAnsi"/>
                <w:bCs/>
              </w:rPr>
            </w:pPr>
            <w:r>
              <w:rPr>
                <w:rFonts w:cstheme="minorHAnsi"/>
                <w:bCs/>
              </w:rPr>
              <w:t>1 (0.4%)</w:t>
            </w:r>
          </w:p>
        </w:tc>
      </w:tr>
      <w:tr w:rsidR="00106E54" w:rsidRPr="00ED0618" w14:paraId="1FA6C046" w14:textId="77777777" w:rsidTr="00547014">
        <w:trPr>
          <w:trHeight w:val="340"/>
        </w:trPr>
        <w:tc>
          <w:tcPr>
            <w:tcW w:w="3638" w:type="pct"/>
          </w:tcPr>
          <w:p w14:paraId="5C0B2840" w14:textId="77777777" w:rsidR="00106E54" w:rsidRPr="00ED0618" w:rsidRDefault="00106E54" w:rsidP="007C36E4">
            <w:pPr>
              <w:rPr>
                <w:rFonts w:cstheme="minorHAnsi"/>
              </w:rPr>
            </w:pPr>
            <w:r>
              <w:rPr>
                <w:rFonts w:cstheme="minorHAnsi"/>
              </w:rPr>
              <w:t>Other</w:t>
            </w:r>
          </w:p>
        </w:tc>
        <w:tc>
          <w:tcPr>
            <w:tcW w:w="1362" w:type="pct"/>
          </w:tcPr>
          <w:p w14:paraId="3313F4E5" w14:textId="77777777" w:rsidR="00106E54" w:rsidRDefault="00106E54" w:rsidP="007C36E4">
            <w:pPr>
              <w:rPr>
                <w:rFonts w:cstheme="minorHAnsi"/>
                <w:bCs/>
              </w:rPr>
            </w:pPr>
            <w:r>
              <w:rPr>
                <w:rFonts w:cstheme="minorHAnsi"/>
                <w:bCs/>
              </w:rPr>
              <w:t>1 (0.4%)</w:t>
            </w:r>
          </w:p>
        </w:tc>
      </w:tr>
      <w:tr w:rsidR="00106E54" w:rsidRPr="00ED0618" w14:paraId="400BCED0" w14:textId="77777777" w:rsidTr="00547014">
        <w:trPr>
          <w:trHeight w:val="340"/>
        </w:trPr>
        <w:tc>
          <w:tcPr>
            <w:tcW w:w="3638" w:type="pct"/>
          </w:tcPr>
          <w:p w14:paraId="5B2AF10E" w14:textId="77777777" w:rsidR="00106E54" w:rsidRPr="00ED0618" w:rsidRDefault="00106E54" w:rsidP="007C36E4">
            <w:pPr>
              <w:rPr>
                <w:rFonts w:cstheme="minorHAnsi"/>
                <w:b/>
              </w:rPr>
            </w:pPr>
            <w:r w:rsidRPr="00ED0618">
              <w:rPr>
                <w:rFonts w:cstheme="minorHAnsi"/>
              </w:rPr>
              <w:t>Not Answered</w:t>
            </w:r>
          </w:p>
        </w:tc>
        <w:tc>
          <w:tcPr>
            <w:tcW w:w="1362" w:type="pct"/>
          </w:tcPr>
          <w:p w14:paraId="196E85B2" w14:textId="77777777" w:rsidR="00106E54" w:rsidRPr="00ED0618" w:rsidRDefault="00106E54" w:rsidP="007C36E4">
            <w:pPr>
              <w:rPr>
                <w:rFonts w:cstheme="minorHAnsi"/>
                <w:bCs/>
              </w:rPr>
            </w:pPr>
            <w:r>
              <w:rPr>
                <w:rFonts w:cstheme="minorHAnsi"/>
                <w:bCs/>
              </w:rPr>
              <w:t>103 (39%)</w:t>
            </w:r>
          </w:p>
        </w:tc>
      </w:tr>
    </w:tbl>
    <w:p w14:paraId="2009D08A" w14:textId="77777777" w:rsidR="00106E54" w:rsidRPr="00ED0618" w:rsidRDefault="00106E54" w:rsidP="007C36E4">
      <w:pPr>
        <w:pStyle w:val="Caption"/>
        <w:spacing w:before="0" w:after="0"/>
        <w:rPr>
          <w:rFonts w:cstheme="minorHAnsi"/>
          <w:b w:val="0"/>
          <w:sz w:val="24"/>
          <w:szCs w:val="24"/>
        </w:rPr>
      </w:pPr>
    </w:p>
    <w:p w14:paraId="339202D8" w14:textId="77777777" w:rsidR="00106E54" w:rsidRPr="00ED0618" w:rsidRDefault="00106E54" w:rsidP="007C36E4">
      <w:pPr>
        <w:pStyle w:val="Caption"/>
        <w:spacing w:before="0" w:after="0"/>
        <w:rPr>
          <w:rFonts w:cstheme="minorHAnsi"/>
          <w:b w:val="0"/>
          <w:sz w:val="24"/>
          <w:szCs w:val="24"/>
        </w:rPr>
      </w:pPr>
      <w:r w:rsidRPr="00ED0618">
        <w:rPr>
          <w:rFonts w:cstheme="minorHAnsi"/>
          <w:sz w:val="24"/>
          <w:szCs w:val="24"/>
        </w:rPr>
        <w:t xml:space="preserve">Table </w:t>
      </w:r>
      <w:r>
        <w:rPr>
          <w:rFonts w:cstheme="minorHAnsi"/>
          <w:sz w:val="24"/>
          <w:szCs w:val="24"/>
        </w:rPr>
        <w:t>4</w:t>
      </w:r>
      <w:r w:rsidRPr="00ED0618">
        <w:rPr>
          <w:rFonts w:cstheme="minorHAnsi"/>
          <w:sz w:val="24"/>
          <w:szCs w:val="24"/>
        </w:rPr>
        <w:t xml:space="preserve"> Location of stakeholders responding to the survey (categorised by metropolitan, regional or remote)</w:t>
      </w:r>
    </w:p>
    <w:p w14:paraId="0383E19A" w14:textId="729FB461" w:rsidR="00106E54" w:rsidRDefault="00106E54" w:rsidP="007C36E4">
      <w:pPr>
        <w:rPr>
          <w:rFonts w:cstheme="minorHAnsi"/>
        </w:rPr>
      </w:pPr>
      <w:r w:rsidRPr="00ED0618">
        <w:rPr>
          <w:rFonts w:cstheme="minorHAnsi"/>
        </w:rPr>
        <w:t xml:space="preserve">Stakeholders were asked to specify whether they lived a metropolitan, regional or </w:t>
      </w:r>
      <w:r>
        <w:rPr>
          <w:rFonts w:cstheme="minorHAnsi"/>
        </w:rPr>
        <w:t>rural/</w:t>
      </w:r>
      <w:r w:rsidRPr="00ED0618">
        <w:rPr>
          <w:rFonts w:cstheme="minorHAnsi"/>
        </w:rPr>
        <w:t>remote area.</w:t>
      </w:r>
    </w:p>
    <w:p w14:paraId="75728F35" w14:textId="77777777" w:rsidR="00106E54" w:rsidRPr="00ED0618" w:rsidRDefault="00106E54" w:rsidP="007C36E4">
      <w:pPr>
        <w:rPr>
          <w:rFonts w:cstheme="minorHAnsi"/>
          <w:b/>
        </w:rPr>
      </w:pPr>
    </w:p>
    <w:tbl>
      <w:tblPr>
        <w:tblStyle w:val="TableGrid"/>
        <w:tblW w:w="5000" w:type="pct"/>
        <w:tblLook w:val="04A0" w:firstRow="1" w:lastRow="0" w:firstColumn="1" w:lastColumn="0" w:noHBand="0" w:noVBand="1"/>
        <w:tblCaption w:val="Table 2 Location Respondents to Online Survey Lives or Operates"/>
        <w:tblDescription w:val="This table describes the number of online survey respondents who have not answered their location"/>
      </w:tblPr>
      <w:tblGrid>
        <w:gridCol w:w="7084"/>
        <w:gridCol w:w="2652"/>
      </w:tblGrid>
      <w:tr w:rsidR="00106E54" w:rsidRPr="00ED0618" w14:paraId="28D50EA7" w14:textId="77777777" w:rsidTr="00547014">
        <w:trPr>
          <w:trHeight w:val="340"/>
        </w:trPr>
        <w:tc>
          <w:tcPr>
            <w:tcW w:w="3638" w:type="pct"/>
            <w:shd w:val="clear" w:color="auto" w:fill="516A8E"/>
          </w:tcPr>
          <w:p w14:paraId="46ECE249" w14:textId="77777777" w:rsidR="00106E54" w:rsidRPr="00ED0618" w:rsidRDefault="00106E54" w:rsidP="007C36E4">
            <w:pPr>
              <w:rPr>
                <w:rFonts w:cstheme="minorHAnsi"/>
                <w:b/>
                <w:bCs/>
                <w:color w:val="FFFFFF" w:themeColor="background1"/>
              </w:rPr>
            </w:pPr>
            <w:r w:rsidRPr="00ED0618">
              <w:rPr>
                <w:rFonts w:cstheme="minorHAnsi"/>
                <w:b/>
                <w:bCs/>
                <w:color w:val="FFFFFF" w:themeColor="background1"/>
              </w:rPr>
              <w:t>Location of stakeholders</w:t>
            </w:r>
          </w:p>
        </w:tc>
        <w:tc>
          <w:tcPr>
            <w:tcW w:w="1362" w:type="pct"/>
            <w:shd w:val="clear" w:color="auto" w:fill="516A8E"/>
          </w:tcPr>
          <w:p w14:paraId="08B1D214" w14:textId="77777777" w:rsidR="00106E54" w:rsidRPr="00ED0618" w:rsidRDefault="00106E54" w:rsidP="007C36E4">
            <w:pPr>
              <w:rPr>
                <w:rFonts w:cstheme="minorHAnsi"/>
                <w:b/>
                <w:bCs/>
                <w:color w:val="FFFFFF" w:themeColor="background1"/>
              </w:rPr>
            </w:pPr>
            <w:r w:rsidRPr="00ED0618">
              <w:rPr>
                <w:rFonts w:cstheme="minorHAnsi"/>
                <w:b/>
                <w:bCs/>
                <w:color w:val="FFFFFF" w:themeColor="background1"/>
              </w:rPr>
              <w:t xml:space="preserve">Online survey responses </w:t>
            </w:r>
          </w:p>
        </w:tc>
      </w:tr>
      <w:tr w:rsidR="00106E54" w:rsidRPr="00ED0618" w14:paraId="54A37BC5" w14:textId="77777777" w:rsidTr="00547014">
        <w:trPr>
          <w:trHeight w:val="340"/>
        </w:trPr>
        <w:tc>
          <w:tcPr>
            <w:tcW w:w="3638" w:type="pct"/>
          </w:tcPr>
          <w:p w14:paraId="109FD7CA" w14:textId="77777777" w:rsidR="00106E54" w:rsidRPr="00ED0618" w:rsidRDefault="00106E54" w:rsidP="007C36E4">
            <w:pPr>
              <w:rPr>
                <w:rFonts w:cstheme="minorHAnsi"/>
                <w:b/>
              </w:rPr>
            </w:pPr>
            <w:r w:rsidRPr="00ED0618">
              <w:rPr>
                <w:rFonts w:cstheme="minorHAnsi"/>
              </w:rPr>
              <w:t xml:space="preserve">Metropolitan </w:t>
            </w:r>
          </w:p>
        </w:tc>
        <w:tc>
          <w:tcPr>
            <w:tcW w:w="1362" w:type="pct"/>
          </w:tcPr>
          <w:p w14:paraId="5F261FEC" w14:textId="77777777" w:rsidR="00106E54" w:rsidRPr="00ED0618" w:rsidRDefault="00106E54" w:rsidP="007C36E4">
            <w:pPr>
              <w:rPr>
                <w:rFonts w:cstheme="minorHAnsi"/>
              </w:rPr>
            </w:pPr>
            <w:r>
              <w:rPr>
                <w:rFonts w:cstheme="minorHAnsi"/>
              </w:rPr>
              <w:t>72 (27.3%)</w:t>
            </w:r>
          </w:p>
        </w:tc>
      </w:tr>
      <w:tr w:rsidR="00106E54" w:rsidRPr="00ED0618" w14:paraId="550F7BB7" w14:textId="77777777" w:rsidTr="00547014">
        <w:trPr>
          <w:trHeight w:val="340"/>
        </w:trPr>
        <w:tc>
          <w:tcPr>
            <w:tcW w:w="3638" w:type="pct"/>
          </w:tcPr>
          <w:p w14:paraId="1ED02902" w14:textId="77777777" w:rsidR="00106E54" w:rsidRPr="00ED0618" w:rsidRDefault="00106E54" w:rsidP="007C36E4">
            <w:pPr>
              <w:rPr>
                <w:rFonts w:cstheme="minorHAnsi"/>
                <w:b/>
              </w:rPr>
            </w:pPr>
            <w:r w:rsidRPr="00ED0618">
              <w:rPr>
                <w:rFonts w:cstheme="minorHAnsi"/>
              </w:rPr>
              <w:t>Regional</w:t>
            </w:r>
          </w:p>
        </w:tc>
        <w:tc>
          <w:tcPr>
            <w:tcW w:w="1362" w:type="pct"/>
          </w:tcPr>
          <w:p w14:paraId="32C1EF8B" w14:textId="77777777" w:rsidR="00106E54" w:rsidRPr="00ED0618" w:rsidRDefault="00106E54" w:rsidP="007C36E4">
            <w:pPr>
              <w:rPr>
                <w:rFonts w:cstheme="minorHAnsi"/>
              </w:rPr>
            </w:pPr>
            <w:r>
              <w:rPr>
                <w:rFonts w:cstheme="minorHAnsi"/>
              </w:rPr>
              <w:t>65 (24.6%)</w:t>
            </w:r>
          </w:p>
        </w:tc>
      </w:tr>
      <w:tr w:rsidR="00106E54" w:rsidRPr="00ED0618" w14:paraId="470C7312" w14:textId="77777777" w:rsidTr="00547014">
        <w:trPr>
          <w:trHeight w:val="340"/>
        </w:trPr>
        <w:tc>
          <w:tcPr>
            <w:tcW w:w="3638" w:type="pct"/>
          </w:tcPr>
          <w:p w14:paraId="4E09FB9D" w14:textId="77777777" w:rsidR="00106E54" w:rsidRPr="00ED0618" w:rsidRDefault="00106E54" w:rsidP="007C36E4">
            <w:pPr>
              <w:rPr>
                <w:rFonts w:cstheme="minorHAnsi"/>
              </w:rPr>
            </w:pPr>
            <w:r w:rsidRPr="00ED0618">
              <w:rPr>
                <w:rFonts w:cstheme="minorHAnsi"/>
              </w:rPr>
              <w:t>Rural/remote</w:t>
            </w:r>
          </w:p>
        </w:tc>
        <w:tc>
          <w:tcPr>
            <w:tcW w:w="1362" w:type="pct"/>
          </w:tcPr>
          <w:p w14:paraId="70069198" w14:textId="77777777" w:rsidR="00106E54" w:rsidRPr="00ED0618" w:rsidRDefault="00106E54" w:rsidP="007C36E4">
            <w:pPr>
              <w:rPr>
                <w:rFonts w:cstheme="minorHAnsi"/>
              </w:rPr>
            </w:pPr>
            <w:r>
              <w:rPr>
                <w:rFonts w:cstheme="minorHAnsi"/>
              </w:rPr>
              <w:t>24 (9.1%)</w:t>
            </w:r>
          </w:p>
        </w:tc>
      </w:tr>
      <w:tr w:rsidR="00106E54" w:rsidRPr="00ED0618" w14:paraId="2C4CA7F4" w14:textId="77777777" w:rsidTr="00547014">
        <w:trPr>
          <w:trHeight w:val="340"/>
        </w:trPr>
        <w:tc>
          <w:tcPr>
            <w:tcW w:w="3638" w:type="pct"/>
          </w:tcPr>
          <w:p w14:paraId="43A7674F" w14:textId="77777777" w:rsidR="00106E54" w:rsidRPr="00ED0618" w:rsidRDefault="00106E54" w:rsidP="007C36E4">
            <w:pPr>
              <w:rPr>
                <w:rFonts w:cstheme="minorHAnsi"/>
                <w:b/>
              </w:rPr>
            </w:pPr>
            <w:r w:rsidRPr="00ED0618">
              <w:rPr>
                <w:rFonts w:cstheme="minorHAnsi"/>
              </w:rPr>
              <w:t>Not Answered</w:t>
            </w:r>
          </w:p>
        </w:tc>
        <w:tc>
          <w:tcPr>
            <w:tcW w:w="1362" w:type="pct"/>
          </w:tcPr>
          <w:p w14:paraId="08331F83" w14:textId="77777777" w:rsidR="00106E54" w:rsidRPr="00ED0618" w:rsidRDefault="00106E54" w:rsidP="007C36E4">
            <w:pPr>
              <w:rPr>
                <w:rFonts w:cstheme="minorHAnsi"/>
              </w:rPr>
            </w:pPr>
            <w:r>
              <w:rPr>
                <w:rFonts w:cstheme="minorHAnsi"/>
              </w:rPr>
              <w:t>103 (39.0%)</w:t>
            </w:r>
          </w:p>
        </w:tc>
      </w:tr>
    </w:tbl>
    <w:p w14:paraId="13D3FA6F" w14:textId="77777777" w:rsidR="00106E54" w:rsidRDefault="00106E54" w:rsidP="007C36E4">
      <w:pPr>
        <w:rPr>
          <w:rFonts w:cstheme="minorHAnsi"/>
        </w:rPr>
      </w:pPr>
    </w:p>
    <w:p w14:paraId="463B300B" w14:textId="77777777" w:rsidR="00106E54" w:rsidRPr="006F7280" w:rsidRDefault="00106E54" w:rsidP="007C36E4">
      <w:pPr>
        <w:rPr>
          <w:rFonts w:cstheme="minorHAnsi"/>
          <w:b/>
          <w:bCs/>
        </w:rPr>
      </w:pPr>
      <w:r w:rsidRPr="0051429D">
        <w:rPr>
          <w:rFonts w:cstheme="minorHAnsi"/>
          <w:b/>
          <w:bCs/>
        </w:rPr>
        <w:t>Table 5 Category</w:t>
      </w:r>
      <w:r>
        <w:rPr>
          <w:rFonts w:cstheme="minorHAnsi"/>
          <w:b/>
          <w:bCs/>
        </w:rPr>
        <w:t xml:space="preserve"> of stakeholder</w:t>
      </w:r>
    </w:p>
    <w:p w14:paraId="67AEE6EB" w14:textId="77777777" w:rsidR="00106E54" w:rsidRDefault="00106E54" w:rsidP="007C36E4">
      <w:pPr>
        <w:rPr>
          <w:rFonts w:cstheme="minorHAnsi"/>
        </w:rPr>
      </w:pPr>
      <w:r w:rsidRPr="00ED0618">
        <w:rPr>
          <w:rFonts w:cstheme="minorHAnsi"/>
        </w:rPr>
        <w:t>Stakeholders completing the survey on behalf of an organisation</w:t>
      </w:r>
      <w:r>
        <w:rPr>
          <w:rFonts w:cstheme="minorHAnsi"/>
        </w:rPr>
        <w:t xml:space="preserve"> were asked to specify which of the following categories best describes their organisation.</w:t>
      </w:r>
    </w:p>
    <w:p w14:paraId="3BDDA5CE" w14:textId="77777777" w:rsidR="00106E54" w:rsidRDefault="00106E54" w:rsidP="007C36E4">
      <w:pPr>
        <w:rPr>
          <w:rFonts w:cstheme="minorHAnsi"/>
        </w:rPr>
      </w:pPr>
    </w:p>
    <w:tbl>
      <w:tblPr>
        <w:tblStyle w:val="TableGrid"/>
        <w:tblW w:w="5000" w:type="pct"/>
        <w:tblLook w:val="04A0" w:firstRow="1" w:lastRow="0" w:firstColumn="1" w:lastColumn="0" w:noHBand="0" w:noVBand="1"/>
        <w:tblCaption w:val="Table 1 Role of Respondents to Online Survey"/>
        <w:tblDescription w:val="This table describes the number of online survey respondents by category"/>
      </w:tblPr>
      <w:tblGrid>
        <w:gridCol w:w="7084"/>
        <w:gridCol w:w="2652"/>
      </w:tblGrid>
      <w:tr w:rsidR="00106E54" w:rsidRPr="00ED0618" w14:paraId="09A11980" w14:textId="77777777" w:rsidTr="00547014">
        <w:trPr>
          <w:trHeight w:val="340"/>
        </w:trPr>
        <w:tc>
          <w:tcPr>
            <w:tcW w:w="3638" w:type="pct"/>
            <w:shd w:val="clear" w:color="auto" w:fill="516A8E"/>
          </w:tcPr>
          <w:p w14:paraId="412EA0E9" w14:textId="77777777" w:rsidR="00106E54" w:rsidRPr="00ED0618" w:rsidRDefault="00106E54" w:rsidP="007C36E4">
            <w:pPr>
              <w:pStyle w:val="Tabletext"/>
              <w:spacing w:before="0" w:after="0" w:line="240" w:lineRule="auto"/>
              <w:rPr>
                <w:rFonts w:cstheme="minorHAnsi"/>
                <w:b/>
                <w:color w:val="FFFFFF" w:themeColor="background1"/>
                <w:sz w:val="24"/>
                <w:szCs w:val="24"/>
              </w:rPr>
            </w:pPr>
            <w:r w:rsidRPr="00ED0618">
              <w:rPr>
                <w:rFonts w:cstheme="minorHAnsi"/>
                <w:b/>
                <w:color w:val="FFFFFF" w:themeColor="background1"/>
                <w:sz w:val="24"/>
                <w:szCs w:val="24"/>
              </w:rPr>
              <w:t>Category of stakeholder</w:t>
            </w:r>
          </w:p>
        </w:tc>
        <w:tc>
          <w:tcPr>
            <w:tcW w:w="1362" w:type="pct"/>
            <w:shd w:val="clear" w:color="auto" w:fill="516A8E"/>
          </w:tcPr>
          <w:p w14:paraId="34DFD2A7" w14:textId="77777777" w:rsidR="00106E54" w:rsidRPr="00ED0618" w:rsidRDefault="00106E54" w:rsidP="007C36E4">
            <w:pPr>
              <w:rPr>
                <w:rFonts w:cstheme="minorHAnsi"/>
                <w:b/>
                <w:color w:val="FFFFFF" w:themeColor="background1"/>
              </w:rPr>
            </w:pPr>
            <w:r w:rsidRPr="00ED0618">
              <w:rPr>
                <w:rFonts w:cstheme="minorHAnsi"/>
                <w:b/>
                <w:color w:val="FFFFFF" w:themeColor="background1"/>
              </w:rPr>
              <w:t xml:space="preserve">Online survey responses </w:t>
            </w:r>
          </w:p>
        </w:tc>
      </w:tr>
      <w:tr w:rsidR="00106E54" w:rsidRPr="00ED0618" w14:paraId="2403821D" w14:textId="77777777" w:rsidTr="00547014">
        <w:trPr>
          <w:trHeight w:val="340"/>
        </w:trPr>
        <w:tc>
          <w:tcPr>
            <w:tcW w:w="3638" w:type="pct"/>
          </w:tcPr>
          <w:p w14:paraId="045C0C42" w14:textId="77777777" w:rsidR="00106E54" w:rsidRPr="00172BD9" w:rsidRDefault="00106E54" w:rsidP="007C36E4">
            <w:pPr>
              <w:rPr>
                <w:rFonts w:cstheme="minorHAnsi"/>
                <w:lang w:val="en" w:eastAsia="en-AU"/>
              </w:rPr>
            </w:pPr>
            <w:r w:rsidRPr="00172BD9">
              <w:rPr>
                <w:rFonts w:cstheme="minorHAnsi"/>
                <w:lang w:val="en" w:eastAsia="en-AU"/>
              </w:rPr>
              <w:t xml:space="preserve">Aged care service provider </w:t>
            </w:r>
          </w:p>
        </w:tc>
        <w:tc>
          <w:tcPr>
            <w:tcW w:w="1362" w:type="pct"/>
          </w:tcPr>
          <w:p w14:paraId="5A4F01C3" w14:textId="77777777" w:rsidR="00106E54" w:rsidRPr="00ED0618" w:rsidRDefault="00106E54" w:rsidP="007C36E4">
            <w:pPr>
              <w:rPr>
                <w:rFonts w:cstheme="minorHAnsi"/>
                <w:lang w:val="en" w:eastAsia="en-AU"/>
              </w:rPr>
            </w:pPr>
            <w:r>
              <w:rPr>
                <w:rFonts w:cstheme="minorHAnsi"/>
                <w:lang w:val="en" w:eastAsia="en-AU"/>
              </w:rPr>
              <w:t>56 (21.2%)</w:t>
            </w:r>
          </w:p>
        </w:tc>
      </w:tr>
      <w:tr w:rsidR="00106E54" w:rsidRPr="00ED0618" w14:paraId="193D6BE2" w14:textId="77777777" w:rsidTr="00547014">
        <w:trPr>
          <w:trHeight w:val="340"/>
        </w:trPr>
        <w:tc>
          <w:tcPr>
            <w:tcW w:w="3638" w:type="pct"/>
          </w:tcPr>
          <w:p w14:paraId="35A35812" w14:textId="77777777" w:rsidR="00106E54" w:rsidRPr="00172BD9" w:rsidRDefault="00106E54" w:rsidP="007C36E4">
            <w:pPr>
              <w:rPr>
                <w:rFonts w:cstheme="minorHAnsi"/>
                <w:lang w:val="en" w:eastAsia="en-AU"/>
              </w:rPr>
            </w:pPr>
            <w:r w:rsidRPr="00172BD9">
              <w:rPr>
                <w:rFonts w:cstheme="minorHAnsi"/>
                <w:lang w:val="en" w:eastAsia="en-AU"/>
              </w:rPr>
              <w:t xml:space="preserve">Advocacy service </w:t>
            </w:r>
          </w:p>
        </w:tc>
        <w:tc>
          <w:tcPr>
            <w:tcW w:w="1362" w:type="pct"/>
          </w:tcPr>
          <w:p w14:paraId="56767398" w14:textId="77777777" w:rsidR="00106E54" w:rsidRPr="00ED0618" w:rsidRDefault="00106E54" w:rsidP="007C36E4">
            <w:pPr>
              <w:rPr>
                <w:rFonts w:cstheme="minorHAnsi"/>
                <w:lang w:val="en" w:eastAsia="en-AU"/>
              </w:rPr>
            </w:pPr>
            <w:r>
              <w:rPr>
                <w:rFonts w:cstheme="minorHAnsi"/>
                <w:lang w:val="en" w:eastAsia="en-AU"/>
              </w:rPr>
              <w:t>4 (1.5%)</w:t>
            </w:r>
          </w:p>
        </w:tc>
      </w:tr>
      <w:tr w:rsidR="00106E54" w:rsidRPr="00ED0618" w14:paraId="6E3CF63B" w14:textId="77777777" w:rsidTr="00547014">
        <w:trPr>
          <w:trHeight w:val="340"/>
        </w:trPr>
        <w:tc>
          <w:tcPr>
            <w:tcW w:w="3638" w:type="pct"/>
          </w:tcPr>
          <w:p w14:paraId="64607286" w14:textId="77777777" w:rsidR="00106E54" w:rsidRPr="00172BD9" w:rsidRDefault="00106E54" w:rsidP="007C36E4">
            <w:pPr>
              <w:rPr>
                <w:rFonts w:cstheme="minorHAnsi"/>
                <w:lang w:val="en" w:eastAsia="en-AU"/>
              </w:rPr>
            </w:pPr>
            <w:r w:rsidRPr="00172BD9">
              <w:rPr>
                <w:rFonts w:cstheme="minorHAnsi"/>
                <w:lang w:val="en" w:eastAsia="en-AU"/>
              </w:rPr>
              <w:t xml:space="preserve">Peak body - Consumer </w:t>
            </w:r>
          </w:p>
        </w:tc>
        <w:tc>
          <w:tcPr>
            <w:tcW w:w="1362" w:type="pct"/>
          </w:tcPr>
          <w:p w14:paraId="63166C13" w14:textId="77777777" w:rsidR="00106E54" w:rsidRPr="00ED0618" w:rsidRDefault="00106E54" w:rsidP="007C36E4">
            <w:pPr>
              <w:rPr>
                <w:rFonts w:cstheme="minorHAnsi"/>
                <w:lang w:val="en" w:eastAsia="en-AU"/>
              </w:rPr>
            </w:pPr>
            <w:r>
              <w:rPr>
                <w:rFonts w:cstheme="minorHAnsi"/>
                <w:lang w:val="en" w:eastAsia="en-AU"/>
              </w:rPr>
              <w:t>5 (1.9%)</w:t>
            </w:r>
          </w:p>
        </w:tc>
      </w:tr>
      <w:tr w:rsidR="00106E54" w:rsidRPr="00ED0618" w14:paraId="10516955" w14:textId="77777777" w:rsidTr="00547014">
        <w:trPr>
          <w:trHeight w:val="340"/>
        </w:trPr>
        <w:tc>
          <w:tcPr>
            <w:tcW w:w="3638" w:type="pct"/>
          </w:tcPr>
          <w:p w14:paraId="33BF33C4" w14:textId="77777777" w:rsidR="00106E54" w:rsidRPr="00172BD9" w:rsidRDefault="00106E54" w:rsidP="007C36E4">
            <w:pPr>
              <w:rPr>
                <w:rFonts w:cstheme="minorHAnsi"/>
                <w:lang w:val="en" w:eastAsia="en-AU"/>
              </w:rPr>
            </w:pPr>
            <w:r w:rsidRPr="00172BD9">
              <w:rPr>
                <w:rFonts w:cstheme="minorHAnsi"/>
                <w:lang w:val="en" w:eastAsia="en-AU"/>
              </w:rPr>
              <w:t xml:space="preserve">Peak body - Provider </w:t>
            </w:r>
          </w:p>
        </w:tc>
        <w:tc>
          <w:tcPr>
            <w:tcW w:w="1362" w:type="pct"/>
          </w:tcPr>
          <w:p w14:paraId="4931A345" w14:textId="77777777" w:rsidR="00106E54" w:rsidRPr="00ED0618" w:rsidRDefault="00106E54" w:rsidP="007C36E4">
            <w:pPr>
              <w:rPr>
                <w:rFonts w:cstheme="minorHAnsi"/>
                <w:lang w:val="en" w:eastAsia="en-AU"/>
              </w:rPr>
            </w:pPr>
            <w:r>
              <w:rPr>
                <w:rFonts w:cstheme="minorHAnsi"/>
                <w:lang w:val="en" w:eastAsia="en-AU"/>
              </w:rPr>
              <w:t>5 (1.9%)</w:t>
            </w:r>
          </w:p>
        </w:tc>
      </w:tr>
      <w:tr w:rsidR="00106E54" w:rsidRPr="00ED0618" w14:paraId="03D376FD" w14:textId="77777777" w:rsidTr="00547014">
        <w:trPr>
          <w:trHeight w:val="340"/>
        </w:trPr>
        <w:tc>
          <w:tcPr>
            <w:tcW w:w="3638" w:type="pct"/>
          </w:tcPr>
          <w:p w14:paraId="1E429E80" w14:textId="77777777" w:rsidR="00106E54" w:rsidRPr="00172BD9" w:rsidRDefault="00106E54" w:rsidP="007C36E4">
            <w:pPr>
              <w:rPr>
                <w:rFonts w:cstheme="minorHAnsi"/>
                <w:lang w:val="en" w:eastAsia="en-AU"/>
              </w:rPr>
            </w:pPr>
            <w:r w:rsidRPr="00172BD9">
              <w:rPr>
                <w:rFonts w:cstheme="minorHAnsi"/>
                <w:lang w:val="en" w:eastAsia="en-AU"/>
              </w:rPr>
              <w:t xml:space="preserve">Peak body - Professional </w:t>
            </w:r>
          </w:p>
        </w:tc>
        <w:tc>
          <w:tcPr>
            <w:tcW w:w="1362" w:type="pct"/>
          </w:tcPr>
          <w:p w14:paraId="7CC745F3" w14:textId="77777777" w:rsidR="00106E54" w:rsidRPr="00ED0618" w:rsidRDefault="00106E54" w:rsidP="007C36E4">
            <w:pPr>
              <w:rPr>
                <w:rFonts w:cstheme="minorHAnsi"/>
                <w:lang w:val="en" w:eastAsia="en-AU"/>
              </w:rPr>
            </w:pPr>
            <w:r>
              <w:rPr>
                <w:rFonts w:cstheme="minorHAnsi"/>
                <w:lang w:val="en" w:eastAsia="en-AU"/>
              </w:rPr>
              <w:t>11 (4.2%)</w:t>
            </w:r>
          </w:p>
        </w:tc>
      </w:tr>
      <w:tr w:rsidR="00106E54" w:rsidRPr="00ED0618" w14:paraId="548B5ABA" w14:textId="77777777" w:rsidTr="00547014">
        <w:trPr>
          <w:trHeight w:val="340"/>
        </w:trPr>
        <w:tc>
          <w:tcPr>
            <w:tcW w:w="3638" w:type="pct"/>
          </w:tcPr>
          <w:p w14:paraId="62887730" w14:textId="77777777" w:rsidR="00106E54" w:rsidRPr="00172BD9" w:rsidRDefault="00106E54" w:rsidP="007C36E4">
            <w:pPr>
              <w:rPr>
                <w:rFonts w:cstheme="minorHAnsi"/>
                <w:lang w:val="en" w:eastAsia="en-AU"/>
              </w:rPr>
            </w:pPr>
            <w:r w:rsidRPr="00172BD9">
              <w:rPr>
                <w:rFonts w:cstheme="minorHAnsi"/>
                <w:lang w:val="en" w:eastAsia="en-AU"/>
              </w:rPr>
              <w:t xml:space="preserve">Peak body - Workers/unions </w:t>
            </w:r>
          </w:p>
        </w:tc>
        <w:tc>
          <w:tcPr>
            <w:tcW w:w="1362" w:type="pct"/>
          </w:tcPr>
          <w:p w14:paraId="28515DE1" w14:textId="77777777" w:rsidR="00106E54" w:rsidRPr="00ED0618" w:rsidRDefault="00106E54" w:rsidP="007C36E4">
            <w:pPr>
              <w:rPr>
                <w:rFonts w:cstheme="minorHAnsi"/>
                <w:lang w:val="en" w:eastAsia="en-AU"/>
              </w:rPr>
            </w:pPr>
            <w:r>
              <w:rPr>
                <w:rFonts w:cstheme="minorHAnsi"/>
                <w:lang w:val="en" w:eastAsia="en-AU"/>
              </w:rPr>
              <w:t>2 (0.8%)</w:t>
            </w:r>
          </w:p>
        </w:tc>
      </w:tr>
      <w:tr w:rsidR="00106E54" w:rsidRPr="00ED0618" w14:paraId="7A3E40E5" w14:textId="77777777" w:rsidTr="00547014">
        <w:trPr>
          <w:trHeight w:val="340"/>
        </w:trPr>
        <w:tc>
          <w:tcPr>
            <w:tcW w:w="3638" w:type="pct"/>
          </w:tcPr>
          <w:p w14:paraId="0124712F" w14:textId="77777777" w:rsidR="00106E54" w:rsidRPr="00172BD9" w:rsidRDefault="00106E54" w:rsidP="007C36E4">
            <w:pPr>
              <w:rPr>
                <w:rFonts w:cstheme="minorHAnsi"/>
                <w:lang w:val="en" w:eastAsia="en-AU"/>
              </w:rPr>
            </w:pPr>
            <w:r w:rsidRPr="00172BD9">
              <w:rPr>
                <w:rFonts w:cstheme="minorHAnsi"/>
                <w:lang w:val="en" w:eastAsia="en-AU"/>
              </w:rPr>
              <w:t>Health and/or disability service provider</w:t>
            </w:r>
          </w:p>
        </w:tc>
        <w:tc>
          <w:tcPr>
            <w:tcW w:w="1362" w:type="pct"/>
          </w:tcPr>
          <w:p w14:paraId="6E16C2DB" w14:textId="77777777" w:rsidR="00106E54" w:rsidRPr="00ED0618" w:rsidRDefault="00106E54" w:rsidP="007C36E4">
            <w:pPr>
              <w:rPr>
                <w:rFonts w:cstheme="minorHAnsi"/>
                <w:lang w:val="en" w:eastAsia="en-AU"/>
              </w:rPr>
            </w:pPr>
            <w:r>
              <w:rPr>
                <w:rFonts w:cstheme="minorHAnsi"/>
                <w:lang w:val="en" w:eastAsia="en-AU"/>
              </w:rPr>
              <w:t>3 (1.14%)</w:t>
            </w:r>
          </w:p>
        </w:tc>
      </w:tr>
      <w:tr w:rsidR="00106E54" w:rsidRPr="00ED0618" w14:paraId="7273340A" w14:textId="77777777" w:rsidTr="00547014">
        <w:trPr>
          <w:trHeight w:val="340"/>
        </w:trPr>
        <w:tc>
          <w:tcPr>
            <w:tcW w:w="3638" w:type="pct"/>
          </w:tcPr>
          <w:p w14:paraId="414C87CE" w14:textId="77777777" w:rsidR="00106E54" w:rsidRPr="00172BD9" w:rsidRDefault="00106E54" w:rsidP="007C36E4">
            <w:pPr>
              <w:rPr>
                <w:rFonts w:cstheme="minorHAnsi"/>
                <w:lang w:val="en" w:eastAsia="en-AU"/>
              </w:rPr>
            </w:pPr>
            <w:r w:rsidRPr="00172BD9">
              <w:rPr>
                <w:rFonts w:cstheme="minorHAnsi"/>
                <w:lang w:val="en" w:eastAsia="en-AU"/>
              </w:rPr>
              <w:t>Government department/agency or statutory authority</w:t>
            </w:r>
          </w:p>
        </w:tc>
        <w:tc>
          <w:tcPr>
            <w:tcW w:w="1362" w:type="pct"/>
          </w:tcPr>
          <w:p w14:paraId="3002B1FE" w14:textId="77777777" w:rsidR="00106E54" w:rsidRPr="00ED0618" w:rsidRDefault="00106E54" w:rsidP="007C36E4">
            <w:pPr>
              <w:rPr>
                <w:rFonts w:cstheme="minorHAnsi"/>
                <w:lang w:val="en" w:eastAsia="en-AU"/>
              </w:rPr>
            </w:pPr>
            <w:r>
              <w:rPr>
                <w:rFonts w:cstheme="minorHAnsi"/>
                <w:lang w:val="en" w:eastAsia="en-AU"/>
              </w:rPr>
              <w:t>3 (1.14%)</w:t>
            </w:r>
          </w:p>
        </w:tc>
      </w:tr>
      <w:tr w:rsidR="00106E54" w:rsidRPr="00ED0618" w14:paraId="572CFEB9" w14:textId="77777777" w:rsidTr="00547014">
        <w:trPr>
          <w:trHeight w:val="340"/>
        </w:trPr>
        <w:tc>
          <w:tcPr>
            <w:tcW w:w="3638" w:type="pct"/>
          </w:tcPr>
          <w:p w14:paraId="48A04A82" w14:textId="77777777" w:rsidR="00106E54" w:rsidRPr="00172BD9" w:rsidRDefault="00106E54" w:rsidP="007C36E4">
            <w:pPr>
              <w:rPr>
                <w:rFonts w:cstheme="minorHAnsi"/>
                <w:lang w:val="en" w:eastAsia="en-AU"/>
              </w:rPr>
            </w:pPr>
            <w:r w:rsidRPr="00172BD9">
              <w:rPr>
                <w:rFonts w:cstheme="minorHAnsi"/>
                <w:lang w:val="en" w:eastAsia="en-AU"/>
              </w:rPr>
              <w:t>Other</w:t>
            </w:r>
          </w:p>
        </w:tc>
        <w:tc>
          <w:tcPr>
            <w:tcW w:w="1362" w:type="pct"/>
          </w:tcPr>
          <w:p w14:paraId="48574633" w14:textId="77777777" w:rsidR="00106E54" w:rsidRPr="00ED0618" w:rsidRDefault="00106E54" w:rsidP="007C36E4">
            <w:pPr>
              <w:rPr>
                <w:rFonts w:cstheme="minorHAnsi"/>
                <w:lang w:val="en" w:eastAsia="en-AU"/>
              </w:rPr>
            </w:pPr>
            <w:r>
              <w:rPr>
                <w:rFonts w:cstheme="minorHAnsi"/>
                <w:lang w:val="en" w:eastAsia="en-AU"/>
              </w:rPr>
              <w:t>14 (5.3%)</w:t>
            </w:r>
          </w:p>
        </w:tc>
      </w:tr>
      <w:tr w:rsidR="00106E54" w:rsidRPr="00ED0618" w14:paraId="043A0B45" w14:textId="77777777" w:rsidTr="00547014">
        <w:trPr>
          <w:trHeight w:val="340"/>
        </w:trPr>
        <w:tc>
          <w:tcPr>
            <w:tcW w:w="3638" w:type="pct"/>
          </w:tcPr>
          <w:p w14:paraId="7434E422" w14:textId="77777777" w:rsidR="00106E54" w:rsidRPr="00172BD9" w:rsidRDefault="00106E54" w:rsidP="007C36E4">
            <w:pPr>
              <w:rPr>
                <w:rFonts w:cstheme="minorHAnsi"/>
                <w:lang w:val="en" w:eastAsia="en-AU"/>
              </w:rPr>
            </w:pPr>
            <w:r w:rsidRPr="00172BD9">
              <w:rPr>
                <w:rFonts w:cstheme="minorHAnsi"/>
                <w:lang w:val="en" w:eastAsia="en-AU"/>
              </w:rPr>
              <w:t>Not Answered</w:t>
            </w:r>
          </w:p>
        </w:tc>
        <w:tc>
          <w:tcPr>
            <w:tcW w:w="1362" w:type="pct"/>
          </w:tcPr>
          <w:p w14:paraId="2C20DFE4" w14:textId="77777777" w:rsidR="00106E54" w:rsidRPr="00ED0618" w:rsidRDefault="00106E54" w:rsidP="007C36E4">
            <w:pPr>
              <w:rPr>
                <w:rFonts w:cstheme="minorHAnsi"/>
                <w:lang w:val="en" w:eastAsia="en-AU"/>
              </w:rPr>
            </w:pPr>
            <w:r>
              <w:rPr>
                <w:rFonts w:cstheme="minorHAnsi"/>
                <w:lang w:val="en" w:eastAsia="en-AU"/>
              </w:rPr>
              <w:t>161 (61%)</w:t>
            </w:r>
          </w:p>
        </w:tc>
      </w:tr>
    </w:tbl>
    <w:p w14:paraId="41CEF696" w14:textId="77777777" w:rsidR="00106E54" w:rsidRPr="00ED0618" w:rsidRDefault="00106E54" w:rsidP="007C36E4">
      <w:pPr>
        <w:rPr>
          <w:rFonts w:cstheme="minorHAnsi"/>
        </w:rPr>
      </w:pPr>
    </w:p>
    <w:p w14:paraId="3BD6ABE3" w14:textId="77777777" w:rsidR="00106E54" w:rsidRPr="00ED0618" w:rsidRDefault="00106E54" w:rsidP="007C36E4">
      <w:pPr>
        <w:pStyle w:val="Caption"/>
        <w:spacing w:before="0" w:after="0"/>
        <w:rPr>
          <w:rFonts w:cstheme="minorHAnsi"/>
          <w:b w:val="0"/>
          <w:sz w:val="24"/>
          <w:szCs w:val="24"/>
        </w:rPr>
      </w:pPr>
      <w:r w:rsidRPr="0051429D">
        <w:rPr>
          <w:rFonts w:cstheme="minorHAnsi"/>
          <w:sz w:val="24"/>
          <w:szCs w:val="24"/>
        </w:rPr>
        <w:lastRenderedPageBreak/>
        <w:t>Table 6 Organisations that provided support or services to certain groups</w:t>
      </w:r>
      <w:r w:rsidRPr="00ED0618">
        <w:rPr>
          <w:rFonts w:cstheme="minorHAnsi"/>
          <w:sz w:val="24"/>
          <w:szCs w:val="24"/>
        </w:rPr>
        <w:t xml:space="preserve"> </w:t>
      </w:r>
    </w:p>
    <w:p w14:paraId="358D03AC" w14:textId="428E6AD6" w:rsidR="00106E54" w:rsidRDefault="00106E54" w:rsidP="007C36E4">
      <w:pPr>
        <w:keepNext/>
        <w:rPr>
          <w:rFonts w:cstheme="minorHAnsi"/>
        </w:rPr>
      </w:pPr>
      <w:r w:rsidRPr="00ED0618">
        <w:rPr>
          <w:rFonts w:cstheme="minorHAnsi"/>
        </w:rPr>
        <w:t>Stakeholders completing the survey on behalf of an organisation were asked to select whether their organisation provided support or services to any of the following groups.</w:t>
      </w:r>
    </w:p>
    <w:p w14:paraId="7DD2C003" w14:textId="77777777" w:rsidR="00106E54" w:rsidRPr="00ED0618" w:rsidRDefault="00106E54" w:rsidP="007C36E4">
      <w:pPr>
        <w:keepNext/>
        <w:rPr>
          <w:rFonts w:cstheme="minorHAnsi"/>
        </w:rPr>
      </w:pPr>
    </w:p>
    <w:tbl>
      <w:tblPr>
        <w:tblStyle w:val="TableGrid"/>
        <w:tblW w:w="5000" w:type="pct"/>
        <w:tblLook w:val="04A0" w:firstRow="1" w:lastRow="0" w:firstColumn="1" w:lastColumn="0" w:noHBand="0" w:noVBand="1"/>
        <w:tblCaption w:val="Table 3 Type of Service Delivered by Service Providers Responding to Online Survey"/>
        <w:tblDescription w:val="This table describes number of the online survey respondents by service type"/>
      </w:tblPr>
      <w:tblGrid>
        <w:gridCol w:w="7084"/>
        <w:gridCol w:w="2652"/>
      </w:tblGrid>
      <w:tr w:rsidR="00106E54" w:rsidRPr="00ED0618" w14:paraId="6686BF7B" w14:textId="77777777" w:rsidTr="00547014">
        <w:trPr>
          <w:trHeight w:val="340"/>
        </w:trPr>
        <w:tc>
          <w:tcPr>
            <w:tcW w:w="3638" w:type="pct"/>
            <w:shd w:val="clear" w:color="auto" w:fill="516A8E"/>
          </w:tcPr>
          <w:p w14:paraId="191D2DD3" w14:textId="77777777" w:rsidR="00106E54" w:rsidRPr="00ED0618" w:rsidRDefault="00106E54" w:rsidP="007C36E4">
            <w:pPr>
              <w:rPr>
                <w:rFonts w:cstheme="minorHAnsi"/>
                <w:b/>
                <w:bCs/>
                <w:color w:val="FFFFFF" w:themeColor="background1"/>
              </w:rPr>
            </w:pPr>
            <w:r w:rsidRPr="00ED0618">
              <w:rPr>
                <w:rFonts w:cstheme="minorHAnsi"/>
                <w:b/>
                <w:bCs/>
                <w:color w:val="FFFFFF" w:themeColor="background1"/>
              </w:rPr>
              <w:t xml:space="preserve">Group(s) providing support or services to </w:t>
            </w:r>
          </w:p>
        </w:tc>
        <w:tc>
          <w:tcPr>
            <w:tcW w:w="1362" w:type="pct"/>
            <w:shd w:val="clear" w:color="auto" w:fill="516A8E"/>
          </w:tcPr>
          <w:p w14:paraId="0F73BF83" w14:textId="77777777" w:rsidR="00106E54" w:rsidRPr="00ED0618" w:rsidRDefault="00106E54" w:rsidP="007C36E4">
            <w:pPr>
              <w:rPr>
                <w:rFonts w:cstheme="minorHAnsi"/>
                <w:b/>
                <w:bCs/>
                <w:color w:val="FFFFFF" w:themeColor="background1"/>
              </w:rPr>
            </w:pPr>
            <w:r w:rsidRPr="00ED0618">
              <w:rPr>
                <w:rFonts w:cstheme="minorHAnsi"/>
                <w:b/>
                <w:bCs/>
                <w:color w:val="FFFFFF" w:themeColor="background1"/>
              </w:rPr>
              <w:t>Online survey responses</w:t>
            </w:r>
          </w:p>
        </w:tc>
      </w:tr>
      <w:tr w:rsidR="00106E54" w:rsidRPr="00ED0618" w14:paraId="5F222001" w14:textId="77777777" w:rsidTr="00547014">
        <w:trPr>
          <w:trHeight w:val="340"/>
        </w:trPr>
        <w:tc>
          <w:tcPr>
            <w:tcW w:w="3638" w:type="pct"/>
          </w:tcPr>
          <w:p w14:paraId="5A6CC90B" w14:textId="77777777" w:rsidR="00106E54" w:rsidRPr="00ED0618" w:rsidRDefault="00106E54" w:rsidP="007C36E4">
            <w:pPr>
              <w:rPr>
                <w:rFonts w:cstheme="minorHAnsi"/>
              </w:rPr>
            </w:pPr>
            <w:r w:rsidRPr="00ED0618">
              <w:rPr>
                <w:rFonts w:cstheme="minorHAnsi"/>
              </w:rPr>
              <w:t xml:space="preserve">People from Aboriginal and/or Torres Strait Islander communities </w:t>
            </w:r>
          </w:p>
        </w:tc>
        <w:tc>
          <w:tcPr>
            <w:tcW w:w="1362" w:type="pct"/>
          </w:tcPr>
          <w:p w14:paraId="1A699266" w14:textId="77777777" w:rsidR="00106E54" w:rsidRPr="00ED0618" w:rsidRDefault="00106E54" w:rsidP="007C36E4">
            <w:pPr>
              <w:rPr>
                <w:rFonts w:cstheme="minorHAnsi"/>
              </w:rPr>
            </w:pPr>
            <w:r>
              <w:rPr>
                <w:rFonts w:cstheme="minorHAnsi"/>
              </w:rPr>
              <w:t>52 (19.7%)</w:t>
            </w:r>
          </w:p>
        </w:tc>
      </w:tr>
      <w:tr w:rsidR="00106E54" w:rsidRPr="00ED0618" w14:paraId="6A642132" w14:textId="77777777" w:rsidTr="00547014">
        <w:trPr>
          <w:trHeight w:val="340"/>
        </w:trPr>
        <w:tc>
          <w:tcPr>
            <w:tcW w:w="3638" w:type="pct"/>
          </w:tcPr>
          <w:p w14:paraId="3B32B51C" w14:textId="77777777" w:rsidR="00106E54" w:rsidRPr="00ED0618" w:rsidRDefault="00106E54" w:rsidP="007C36E4">
            <w:pPr>
              <w:rPr>
                <w:rFonts w:cstheme="minorHAnsi"/>
              </w:rPr>
            </w:pPr>
            <w:r w:rsidRPr="00ED0618">
              <w:rPr>
                <w:rFonts w:cstheme="minorHAnsi"/>
              </w:rPr>
              <w:t xml:space="preserve">People from culturally and linguistically diverse (CALD) backgrounds </w:t>
            </w:r>
          </w:p>
        </w:tc>
        <w:tc>
          <w:tcPr>
            <w:tcW w:w="1362" w:type="pct"/>
          </w:tcPr>
          <w:p w14:paraId="235AB87C" w14:textId="77777777" w:rsidR="00106E54" w:rsidRPr="00ED0618" w:rsidRDefault="00106E54" w:rsidP="007C36E4">
            <w:pPr>
              <w:rPr>
                <w:rFonts w:cstheme="minorHAnsi"/>
              </w:rPr>
            </w:pPr>
            <w:r>
              <w:rPr>
                <w:rFonts w:cstheme="minorHAnsi"/>
              </w:rPr>
              <w:t>71 (26.9%)</w:t>
            </w:r>
          </w:p>
        </w:tc>
      </w:tr>
      <w:tr w:rsidR="00106E54" w:rsidRPr="00ED0618" w14:paraId="57AB600B" w14:textId="77777777" w:rsidTr="00547014">
        <w:trPr>
          <w:trHeight w:val="340"/>
        </w:trPr>
        <w:tc>
          <w:tcPr>
            <w:tcW w:w="3638" w:type="pct"/>
          </w:tcPr>
          <w:p w14:paraId="1E5A6531" w14:textId="77777777" w:rsidR="00106E54" w:rsidRPr="00ED0618" w:rsidRDefault="00106E54" w:rsidP="007C36E4">
            <w:pPr>
              <w:rPr>
                <w:rFonts w:cstheme="minorHAnsi"/>
              </w:rPr>
            </w:pPr>
            <w:r w:rsidRPr="00ED0618">
              <w:rPr>
                <w:rFonts w:cstheme="minorHAnsi"/>
              </w:rPr>
              <w:t xml:space="preserve">People who live in rural or remote areas </w:t>
            </w:r>
          </w:p>
        </w:tc>
        <w:tc>
          <w:tcPr>
            <w:tcW w:w="1362" w:type="pct"/>
          </w:tcPr>
          <w:p w14:paraId="0CE8BD1B" w14:textId="77777777" w:rsidR="00106E54" w:rsidRPr="00ED0618" w:rsidRDefault="00106E54" w:rsidP="007C36E4">
            <w:pPr>
              <w:rPr>
                <w:rFonts w:cstheme="minorHAnsi"/>
              </w:rPr>
            </w:pPr>
            <w:r>
              <w:rPr>
                <w:rFonts w:cstheme="minorHAnsi"/>
              </w:rPr>
              <w:t>50 (18.9%)</w:t>
            </w:r>
          </w:p>
        </w:tc>
      </w:tr>
      <w:tr w:rsidR="00106E54" w:rsidRPr="00ED0618" w14:paraId="6B5FD6B8" w14:textId="77777777" w:rsidTr="00547014">
        <w:trPr>
          <w:trHeight w:val="340"/>
        </w:trPr>
        <w:tc>
          <w:tcPr>
            <w:tcW w:w="3638" w:type="pct"/>
          </w:tcPr>
          <w:p w14:paraId="6490586A" w14:textId="77777777" w:rsidR="00106E54" w:rsidRPr="00ED0618" w:rsidRDefault="00106E54" w:rsidP="007C36E4">
            <w:pPr>
              <w:rPr>
                <w:rFonts w:cstheme="minorHAnsi"/>
              </w:rPr>
            </w:pPr>
            <w:r w:rsidRPr="00ED0618">
              <w:rPr>
                <w:rFonts w:cstheme="minorHAnsi"/>
              </w:rPr>
              <w:t xml:space="preserve">People who are financially or socially disadvantaged </w:t>
            </w:r>
          </w:p>
        </w:tc>
        <w:tc>
          <w:tcPr>
            <w:tcW w:w="1362" w:type="pct"/>
          </w:tcPr>
          <w:p w14:paraId="109CD338" w14:textId="77777777" w:rsidR="00106E54" w:rsidRPr="00ED0618" w:rsidRDefault="00106E54" w:rsidP="007C36E4">
            <w:pPr>
              <w:rPr>
                <w:rFonts w:cstheme="minorHAnsi"/>
              </w:rPr>
            </w:pPr>
            <w:r>
              <w:rPr>
                <w:rFonts w:cstheme="minorHAnsi"/>
              </w:rPr>
              <w:t>60 (22.7%)</w:t>
            </w:r>
          </w:p>
        </w:tc>
      </w:tr>
      <w:tr w:rsidR="00106E54" w:rsidRPr="00ED0618" w14:paraId="7750D640" w14:textId="77777777" w:rsidTr="00547014">
        <w:trPr>
          <w:trHeight w:val="340"/>
        </w:trPr>
        <w:tc>
          <w:tcPr>
            <w:tcW w:w="3638" w:type="pct"/>
          </w:tcPr>
          <w:p w14:paraId="56BD46B4" w14:textId="77777777" w:rsidR="00106E54" w:rsidRPr="00ED0618" w:rsidRDefault="00106E54" w:rsidP="007C36E4">
            <w:pPr>
              <w:rPr>
                <w:rFonts w:cstheme="minorHAnsi"/>
              </w:rPr>
            </w:pPr>
            <w:r w:rsidRPr="00ED0618">
              <w:rPr>
                <w:rFonts w:cstheme="minorHAnsi"/>
              </w:rPr>
              <w:t xml:space="preserve">People who are veterans of the Australian Defence Force or an allied defence force including the spouse, widow or widower of a veteran </w:t>
            </w:r>
          </w:p>
        </w:tc>
        <w:tc>
          <w:tcPr>
            <w:tcW w:w="1362" w:type="pct"/>
          </w:tcPr>
          <w:p w14:paraId="364E5CF4" w14:textId="77777777" w:rsidR="00106E54" w:rsidRPr="00ED0618" w:rsidRDefault="00106E54" w:rsidP="007C36E4">
            <w:pPr>
              <w:rPr>
                <w:rFonts w:cstheme="minorHAnsi"/>
              </w:rPr>
            </w:pPr>
            <w:r>
              <w:rPr>
                <w:rFonts w:cstheme="minorHAnsi"/>
              </w:rPr>
              <w:t>35 (13.3%)</w:t>
            </w:r>
          </w:p>
        </w:tc>
      </w:tr>
      <w:tr w:rsidR="00106E54" w:rsidRPr="00ED0618" w14:paraId="53D07357" w14:textId="77777777" w:rsidTr="00547014">
        <w:trPr>
          <w:trHeight w:val="340"/>
        </w:trPr>
        <w:tc>
          <w:tcPr>
            <w:tcW w:w="3638" w:type="pct"/>
          </w:tcPr>
          <w:p w14:paraId="73385EBE" w14:textId="77777777" w:rsidR="00106E54" w:rsidRPr="00ED0618" w:rsidRDefault="00106E54" w:rsidP="007C36E4">
            <w:pPr>
              <w:rPr>
                <w:rFonts w:cstheme="minorHAnsi"/>
              </w:rPr>
            </w:pPr>
            <w:r w:rsidRPr="00ED0618">
              <w:rPr>
                <w:rFonts w:cstheme="minorHAnsi"/>
              </w:rPr>
              <w:t xml:space="preserve">People who are homeless, or at risk of homelessness </w:t>
            </w:r>
          </w:p>
        </w:tc>
        <w:tc>
          <w:tcPr>
            <w:tcW w:w="1362" w:type="pct"/>
          </w:tcPr>
          <w:p w14:paraId="549784DA" w14:textId="77777777" w:rsidR="00106E54" w:rsidRPr="00ED0618" w:rsidRDefault="00106E54" w:rsidP="007C36E4">
            <w:pPr>
              <w:rPr>
                <w:rFonts w:cstheme="minorHAnsi"/>
              </w:rPr>
            </w:pPr>
            <w:r>
              <w:rPr>
                <w:rFonts w:cstheme="minorHAnsi"/>
              </w:rPr>
              <w:t>31 (11.7%)</w:t>
            </w:r>
          </w:p>
        </w:tc>
      </w:tr>
      <w:tr w:rsidR="00106E54" w:rsidRPr="00ED0618" w14:paraId="0B91D172" w14:textId="77777777" w:rsidTr="00547014">
        <w:trPr>
          <w:trHeight w:val="340"/>
        </w:trPr>
        <w:tc>
          <w:tcPr>
            <w:tcW w:w="3638" w:type="pct"/>
          </w:tcPr>
          <w:p w14:paraId="7EE5A9C4" w14:textId="77777777" w:rsidR="00106E54" w:rsidRPr="00ED0618" w:rsidRDefault="00106E54" w:rsidP="007C36E4">
            <w:pPr>
              <w:rPr>
                <w:rFonts w:cstheme="minorHAnsi"/>
              </w:rPr>
            </w:pPr>
            <w:r w:rsidRPr="00ED0618">
              <w:rPr>
                <w:rFonts w:cstheme="minorHAnsi"/>
              </w:rPr>
              <w:t xml:space="preserve">People who are care leavers (which includes Forgotten Australians, Former Child Migrants and Stolen Generations) </w:t>
            </w:r>
          </w:p>
        </w:tc>
        <w:tc>
          <w:tcPr>
            <w:tcW w:w="1362" w:type="pct"/>
          </w:tcPr>
          <w:p w14:paraId="4BAECA40" w14:textId="77777777" w:rsidR="00106E54" w:rsidRPr="00ED0618" w:rsidRDefault="00106E54" w:rsidP="007C36E4">
            <w:pPr>
              <w:rPr>
                <w:rFonts w:cstheme="minorHAnsi"/>
              </w:rPr>
            </w:pPr>
            <w:r>
              <w:rPr>
                <w:rFonts w:cstheme="minorHAnsi"/>
              </w:rPr>
              <w:t>16 (6.1%)</w:t>
            </w:r>
          </w:p>
        </w:tc>
      </w:tr>
      <w:tr w:rsidR="00106E54" w:rsidRPr="00ED0618" w14:paraId="44566EAA" w14:textId="77777777" w:rsidTr="00547014">
        <w:trPr>
          <w:trHeight w:val="340"/>
        </w:trPr>
        <w:tc>
          <w:tcPr>
            <w:tcW w:w="3638" w:type="pct"/>
          </w:tcPr>
          <w:p w14:paraId="741CADDF" w14:textId="77777777" w:rsidR="00106E54" w:rsidRPr="00ED0618" w:rsidRDefault="00106E54" w:rsidP="007C36E4">
            <w:pPr>
              <w:rPr>
                <w:rFonts w:cstheme="minorHAnsi"/>
              </w:rPr>
            </w:pPr>
            <w:r w:rsidRPr="00ED0618">
              <w:rPr>
                <w:rFonts w:cstheme="minorHAnsi"/>
              </w:rPr>
              <w:t xml:space="preserve">Parents separated from their children by forced adoption or removal </w:t>
            </w:r>
          </w:p>
        </w:tc>
        <w:tc>
          <w:tcPr>
            <w:tcW w:w="1362" w:type="pct"/>
          </w:tcPr>
          <w:p w14:paraId="0B472B57" w14:textId="77777777" w:rsidR="00106E54" w:rsidRPr="00ED0618" w:rsidRDefault="00106E54" w:rsidP="007C36E4">
            <w:pPr>
              <w:rPr>
                <w:rFonts w:cstheme="minorHAnsi"/>
              </w:rPr>
            </w:pPr>
            <w:r>
              <w:rPr>
                <w:rFonts w:cstheme="minorHAnsi"/>
              </w:rPr>
              <w:t>15 (5.7%)</w:t>
            </w:r>
          </w:p>
        </w:tc>
      </w:tr>
      <w:tr w:rsidR="00106E54" w:rsidRPr="00ED0618" w14:paraId="370A224C" w14:textId="77777777" w:rsidTr="00547014">
        <w:trPr>
          <w:trHeight w:val="340"/>
        </w:trPr>
        <w:tc>
          <w:tcPr>
            <w:tcW w:w="3638" w:type="pct"/>
          </w:tcPr>
          <w:p w14:paraId="42E0433A" w14:textId="77777777" w:rsidR="00106E54" w:rsidRPr="00ED0618" w:rsidRDefault="00106E54" w:rsidP="007C36E4">
            <w:pPr>
              <w:rPr>
                <w:rFonts w:cstheme="minorHAnsi"/>
              </w:rPr>
            </w:pPr>
            <w:r w:rsidRPr="00ED0618">
              <w:rPr>
                <w:rFonts w:cstheme="minorHAnsi"/>
              </w:rPr>
              <w:t xml:space="preserve">People from lesbian, gay, bisexual, trans/transgender and intersex (LGBTI) communities </w:t>
            </w:r>
          </w:p>
        </w:tc>
        <w:tc>
          <w:tcPr>
            <w:tcW w:w="1362" w:type="pct"/>
          </w:tcPr>
          <w:p w14:paraId="307FEF3F" w14:textId="77777777" w:rsidR="00106E54" w:rsidRPr="00ED0618" w:rsidRDefault="00106E54" w:rsidP="007C36E4">
            <w:pPr>
              <w:rPr>
                <w:rFonts w:cstheme="minorHAnsi"/>
              </w:rPr>
            </w:pPr>
            <w:r>
              <w:rPr>
                <w:rFonts w:cstheme="minorHAnsi"/>
              </w:rPr>
              <w:t>47 (17.8%)</w:t>
            </w:r>
          </w:p>
        </w:tc>
      </w:tr>
      <w:tr w:rsidR="00106E54" w:rsidRPr="00ED0618" w14:paraId="52163C9A" w14:textId="77777777" w:rsidTr="00547014">
        <w:trPr>
          <w:trHeight w:val="340"/>
        </w:trPr>
        <w:tc>
          <w:tcPr>
            <w:tcW w:w="3638" w:type="pct"/>
          </w:tcPr>
          <w:p w14:paraId="1AD2925B" w14:textId="77777777" w:rsidR="00106E54" w:rsidRPr="00ED0618" w:rsidRDefault="00106E54" w:rsidP="007C36E4">
            <w:pPr>
              <w:rPr>
                <w:rFonts w:cstheme="minorHAnsi"/>
              </w:rPr>
            </w:pPr>
            <w:r w:rsidRPr="00ED0618">
              <w:rPr>
                <w:rFonts w:cstheme="minorHAnsi"/>
              </w:rPr>
              <w:t xml:space="preserve">People living with dementia. </w:t>
            </w:r>
          </w:p>
        </w:tc>
        <w:tc>
          <w:tcPr>
            <w:tcW w:w="1362" w:type="pct"/>
          </w:tcPr>
          <w:p w14:paraId="1B45713F" w14:textId="77777777" w:rsidR="00106E54" w:rsidRPr="00ED0618" w:rsidRDefault="00106E54" w:rsidP="007C36E4">
            <w:pPr>
              <w:rPr>
                <w:rFonts w:cstheme="minorHAnsi"/>
              </w:rPr>
            </w:pPr>
            <w:r>
              <w:rPr>
                <w:rFonts w:cstheme="minorHAnsi"/>
              </w:rPr>
              <w:t>72 (27.3%)</w:t>
            </w:r>
          </w:p>
        </w:tc>
      </w:tr>
      <w:tr w:rsidR="00106E54" w:rsidRPr="00ED0618" w14:paraId="418AD8D5" w14:textId="77777777" w:rsidTr="00547014">
        <w:trPr>
          <w:trHeight w:val="340"/>
        </w:trPr>
        <w:tc>
          <w:tcPr>
            <w:tcW w:w="3638" w:type="pct"/>
          </w:tcPr>
          <w:p w14:paraId="3A1FBB0F" w14:textId="77777777" w:rsidR="00106E54" w:rsidRPr="00ED0618" w:rsidRDefault="00106E54" w:rsidP="007C36E4">
            <w:pPr>
              <w:rPr>
                <w:rFonts w:cstheme="minorHAnsi"/>
                <w:b/>
              </w:rPr>
            </w:pPr>
            <w:r w:rsidRPr="00ED0618">
              <w:rPr>
                <w:rFonts w:cstheme="minorHAnsi"/>
              </w:rPr>
              <w:t>Not Answered</w:t>
            </w:r>
          </w:p>
        </w:tc>
        <w:tc>
          <w:tcPr>
            <w:tcW w:w="1362" w:type="pct"/>
          </w:tcPr>
          <w:p w14:paraId="6E58037E" w14:textId="77777777" w:rsidR="00106E54" w:rsidRPr="00ED0618" w:rsidRDefault="00106E54" w:rsidP="007C36E4">
            <w:pPr>
              <w:rPr>
                <w:rFonts w:cstheme="minorHAnsi"/>
              </w:rPr>
            </w:pPr>
            <w:r>
              <w:rPr>
                <w:rFonts w:cstheme="minorHAnsi"/>
              </w:rPr>
              <w:t>178 (67.4%)</w:t>
            </w:r>
          </w:p>
        </w:tc>
      </w:tr>
    </w:tbl>
    <w:p w14:paraId="06AD3820" w14:textId="77777777" w:rsidR="00106E54" w:rsidRDefault="00106E54" w:rsidP="007C36E4">
      <w:pPr>
        <w:rPr>
          <w:rFonts w:cstheme="minorHAnsi"/>
        </w:rPr>
      </w:pPr>
    </w:p>
    <w:p w14:paraId="3E4EE7CF" w14:textId="77777777" w:rsidR="00106E54" w:rsidRPr="00ED0618" w:rsidRDefault="00106E54" w:rsidP="007C36E4">
      <w:pPr>
        <w:pStyle w:val="Caption"/>
        <w:spacing w:before="0" w:after="0"/>
        <w:rPr>
          <w:rFonts w:cstheme="minorHAnsi"/>
          <w:b w:val="0"/>
          <w:sz w:val="24"/>
          <w:szCs w:val="24"/>
        </w:rPr>
      </w:pPr>
      <w:r w:rsidRPr="0051429D">
        <w:rPr>
          <w:rFonts w:cstheme="minorHAnsi"/>
          <w:sz w:val="24"/>
          <w:szCs w:val="24"/>
        </w:rPr>
        <w:t>Table 7 Location of organisation</w:t>
      </w:r>
      <w:r w:rsidRPr="00ED0618">
        <w:rPr>
          <w:rFonts w:cstheme="minorHAnsi"/>
          <w:sz w:val="24"/>
          <w:szCs w:val="24"/>
        </w:rPr>
        <w:t xml:space="preserve"> </w:t>
      </w:r>
      <w:r>
        <w:rPr>
          <w:rFonts w:cstheme="minorHAnsi"/>
          <w:sz w:val="24"/>
          <w:szCs w:val="24"/>
        </w:rPr>
        <w:t>(by state and territory)</w:t>
      </w:r>
    </w:p>
    <w:p w14:paraId="741FD546" w14:textId="77777777" w:rsidR="00106E54" w:rsidRDefault="00106E54" w:rsidP="007C36E4">
      <w:pPr>
        <w:rPr>
          <w:rFonts w:cstheme="minorHAnsi"/>
        </w:rPr>
      </w:pPr>
      <w:r w:rsidRPr="00ED0618">
        <w:rPr>
          <w:rFonts w:cstheme="minorHAnsi"/>
        </w:rPr>
        <w:t xml:space="preserve">Stakeholders completing the survey on behalf of an organisation were asked </w:t>
      </w:r>
      <w:r>
        <w:rPr>
          <w:rFonts w:cstheme="minorHAnsi"/>
        </w:rPr>
        <w:t>where their organisation operates.</w:t>
      </w:r>
    </w:p>
    <w:p w14:paraId="0445DFE9" w14:textId="77777777" w:rsidR="00106E54" w:rsidRPr="00ED0618" w:rsidRDefault="00106E54" w:rsidP="007C36E4">
      <w:pPr>
        <w:rPr>
          <w:rFonts w:cstheme="minorHAnsi"/>
        </w:rPr>
      </w:pPr>
    </w:p>
    <w:tbl>
      <w:tblPr>
        <w:tblStyle w:val="TableGrid"/>
        <w:tblW w:w="5000" w:type="pct"/>
        <w:tblLook w:val="04A0" w:firstRow="1" w:lastRow="0" w:firstColumn="1" w:lastColumn="0" w:noHBand="0" w:noVBand="1"/>
        <w:tblCaption w:val="Table 2 Location Respondents to Online Survey Lives or Operates"/>
        <w:tblDescription w:val="This table describes the number of online survey respondents who have not answered their location"/>
      </w:tblPr>
      <w:tblGrid>
        <w:gridCol w:w="7084"/>
        <w:gridCol w:w="2652"/>
      </w:tblGrid>
      <w:tr w:rsidR="00106E54" w:rsidRPr="00ED0618" w14:paraId="51107836" w14:textId="77777777" w:rsidTr="00547014">
        <w:trPr>
          <w:trHeight w:val="340"/>
        </w:trPr>
        <w:tc>
          <w:tcPr>
            <w:tcW w:w="3638" w:type="pct"/>
            <w:shd w:val="clear" w:color="auto" w:fill="516A8E"/>
          </w:tcPr>
          <w:p w14:paraId="07AB9C54" w14:textId="77777777" w:rsidR="00106E54" w:rsidRPr="00ED0618" w:rsidRDefault="00106E54" w:rsidP="007C36E4">
            <w:pPr>
              <w:keepNext/>
              <w:rPr>
                <w:rFonts w:cstheme="minorHAnsi"/>
                <w:b/>
                <w:bCs/>
                <w:color w:val="FFFFFF" w:themeColor="background1"/>
              </w:rPr>
            </w:pPr>
            <w:r w:rsidRPr="00ED0618">
              <w:rPr>
                <w:rFonts w:cstheme="minorHAnsi"/>
                <w:b/>
                <w:bCs/>
                <w:color w:val="FFFFFF" w:themeColor="background1"/>
              </w:rPr>
              <w:t>Location of stakeholder</w:t>
            </w:r>
            <w:r>
              <w:rPr>
                <w:rFonts w:cstheme="minorHAnsi"/>
                <w:b/>
                <w:bCs/>
                <w:color w:val="FFFFFF" w:themeColor="background1"/>
              </w:rPr>
              <w:t>s</w:t>
            </w:r>
          </w:p>
        </w:tc>
        <w:tc>
          <w:tcPr>
            <w:tcW w:w="1362" w:type="pct"/>
            <w:shd w:val="clear" w:color="auto" w:fill="516A8E"/>
          </w:tcPr>
          <w:p w14:paraId="5D98FC35" w14:textId="77777777" w:rsidR="00106E54" w:rsidRPr="00ED0618" w:rsidRDefault="00106E54" w:rsidP="007C36E4">
            <w:pPr>
              <w:rPr>
                <w:rFonts w:cstheme="minorHAnsi"/>
                <w:b/>
                <w:bCs/>
                <w:color w:val="FFFFFF" w:themeColor="background1"/>
              </w:rPr>
            </w:pPr>
            <w:r w:rsidRPr="00ED0618">
              <w:rPr>
                <w:rFonts w:cstheme="minorHAnsi"/>
                <w:b/>
                <w:bCs/>
                <w:color w:val="FFFFFF" w:themeColor="background1"/>
              </w:rPr>
              <w:t xml:space="preserve">Online survey responses </w:t>
            </w:r>
          </w:p>
        </w:tc>
      </w:tr>
      <w:tr w:rsidR="00106E54" w:rsidRPr="00ED0618" w14:paraId="4A1428C4" w14:textId="77777777" w:rsidTr="00547014">
        <w:trPr>
          <w:trHeight w:val="340"/>
        </w:trPr>
        <w:tc>
          <w:tcPr>
            <w:tcW w:w="3638" w:type="pct"/>
          </w:tcPr>
          <w:p w14:paraId="7FE08C3A" w14:textId="77777777" w:rsidR="00106E54" w:rsidRPr="00ED0618" w:rsidRDefault="00106E54" w:rsidP="007C36E4">
            <w:pPr>
              <w:keepNext/>
              <w:rPr>
                <w:rFonts w:cstheme="minorHAnsi"/>
              </w:rPr>
            </w:pPr>
            <w:r w:rsidRPr="00ED0618">
              <w:rPr>
                <w:rFonts w:cstheme="minorHAnsi"/>
              </w:rPr>
              <w:t>NSW</w:t>
            </w:r>
          </w:p>
        </w:tc>
        <w:tc>
          <w:tcPr>
            <w:tcW w:w="1362" w:type="pct"/>
          </w:tcPr>
          <w:p w14:paraId="64707A64" w14:textId="77777777" w:rsidR="00106E54" w:rsidRPr="00ED0618" w:rsidRDefault="00106E54" w:rsidP="007C36E4">
            <w:pPr>
              <w:rPr>
                <w:rFonts w:cstheme="minorHAnsi"/>
              </w:rPr>
            </w:pPr>
            <w:r>
              <w:rPr>
                <w:rFonts w:cstheme="minorHAnsi"/>
              </w:rPr>
              <w:t>26 (9.9%)</w:t>
            </w:r>
          </w:p>
        </w:tc>
      </w:tr>
      <w:tr w:rsidR="00106E54" w:rsidRPr="00ED0618" w14:paraId="41C71E11" w14:textId="77777777" w:rsidTr="00547014">
        <w:trPr>
          <w:trHeight w:val="340"/>
        </w:trPr>
        <w:tc>
          <w:tcPr>
            <w:tcW w:w="3638" w:type="pct"/>
          </w:tcPr>
          <w:p w14:paraId="026CCA43" w14:textId="77777777" w:rsidR="00106E54" w:rsidRPr="00ED0618" w:rsidRDefault="00106E54" w:rsidP="007C36E4">
            <w:pPr>
              <w:rPr>
                <w:rFonts w:cstheme="minorHAnsi"/>
              </w:rPr>
            </w:pPr>
            <w:r w:rsidRPr="00ED0618">
              <w:rPr>
                <w:rFonts w:cstheme="minorHAnsi"/>
              </w:rPr>
              <w:t>VIC</w:t>
            </w:r>
          </w:p>
        </w:tc>
        <w:tc>
          <w:tcPr>
            <w:tcW w:w="1362" w:type="pct"/>
          </w:tcPr>
          <w:p w14:paraId="229824C3" w14:textId="77777777" w:rsidR="00106E54" w:rsidRPr="00ED0618" w:rsidRDefault="00106E54" w:rsidP="007C36E4">
            <w:pPr>
              <w:rPr>
                <w:rFonts w:cstheme="minorHAnsi"/>
              </w:rPr>
            </w:pPr>
            <w:r>
              <w:rPr>
                <w:rFonts w:cstheme="minorHAnsi"/>
              </w:rPr>
              <w:t>29 (11.0%)</w:t>
            </w:r>
          </w:p>
        </w:tc>
      </w:tr>
      <w:tr w:rsidR="00106E54" w:rsidRPr="00ED0618" w14:paraId="01DBE21E" w14:textId="77777777" w:rsidTr="00547014">
        <w:trPr>
          <w:trHeight w:val="340"/>
        </w:trPr>
        <w:tc>
          <w:tcPr>
            <w:tcW w:w="3638" w:type="pct"/>
          </w:tcPr>
          <w:p w14:paraId="0ED938C3" w14:textId="77777777" w:rsidR="00106E54" w:rsidRPr="00ED0618" w:rsidRDefault="00106E54" w:rsidP="007C36E4">
            <w:pPr>
              <w:rPr>
                <w:rFonts w:cstheme="minorHAnsi"/>
              </w:rPr>
            </w:pPr>
            <w:r w:rsidRPr="00ED0618">
              <w:rPr>
                <w:rFonts w:cstheme="minorHAnsi"/>
              </w:rPr>
              <w:t>QLD</w:t>
            </w:r>
          </w:p>
        </w:tc>
        <w:tc>
          <w:tcPr>
            <w:tcW w:w="1362" w:type="pct"/>
          </w:tcPr>
          <w:p w14:paraId="3E63485D" w14:textId="77777777" w:rsidR="00106E54" w:rsidRPr="00ED0618" w:rsidRDefault="00106E54" w:rsidP="007C36E4">
            <w:pPr>
              <w:rPr>
                <w:rFonts w:cstheme="minorHAnsi"/>
              </w:rPr>
            </w:pPr>
            <w:r>
              <w:rPr>
                <w:rFonts w:cstheme="minorHAnsi"/>
              </w:rPr>
              <w:t>24 (9.1%)</w:t>
            </w:r>
          </w:p>
        </w:tc>
      </w:tr>
      <w:tr w:rsidR="00106E54" w:rsidRPr="00ED0618" w14:paraId="306930D5" w14:textId="77777777" w:rsidTr="00547014">
        <w:trPr>
          <w:trHeight w:val="340"/>
        </w:trPr>
        <w:tc>
          <w:tcPr>
            <w:tcW w:w="3638" w:type="pct"/>
          </w:tcPr>
          <w:p w14:paraId="6B7E5391" w14:textId="77777777" w:rsidR="00106E54" w:rsidRPr="00ED0618" w:rsidRDefault="00106E54" w:rsidP="007C36E4">
            <w:pPr>
              <w:rPr>
                <w:rFonts w:cstheme="minorHAnsi"/>
              </w:rPr>
            </w:pPr>
            <w:r w:rsidRPr="00ED0618">
              <w:rPr>
                <w:rFonts w:cstheme="minorHAnsi"/>
              </w:rPr>
              <w:t>WA</w:t>
            </w:r>
          </w:p>
        </w:tc>
        <w:tc>
          <w:tcPr>
            <w:tcW w:w="1362" w:type="pct"/>
          </w:tcPr>
          <w:p w14:paraId="6858C422" w14:textId="77777777" w:rsidR="00106E54" w:rsidRPr="00ED0618" w:rsidRDefault="00106E54" w:rsidP="007C36E4">
            <w:pPr>
              <w:rPr>
                <w:rFonts w:cstheme="minorHAnsi"/>
                <w:bCs/>
              </w:rPr>
            </w:pPr>
            <w:r>
              <w:rPr>
                <w:rFonts w:cstheme="minorHAnsi"/>
                <w:bCs/>
              </w:rPr>
              <w:t>12 (4.6%)</w:t>
            </w:r>
          </w:p>
        </w:tc>
      </w:tr>
      <w:tr w:rsidR="00106E54" w:rsidRPr="00ED0618" w14:paraId="08C8BF5B" w14:textId="77777777" w:rsidTr="00547014">
        <w:trPr>
          <w:trHeight w:val="340"/>
        </w:trPr>
        <w:tc>
          <w:tcPr>
            <w:tcW w:w="3638" w:type="pct"/>
          </w:tcPr>
          <w:p w14:paraId="4E83251C" w14:textId="77777777" w:rsidR="00106E54" w:rsidRPr="00ED0618" w:rsidRDefault="00106E54" w:rsidP="007C36E4">
            <w:pPr>
              <w:rPr>
                <w:rFonts w:cstheme="minorHAnsi"/>
              </w:rPr>
            </w:pPr>
            <w:r w:rsidRPr="00ED0618">
              <w:rPr>
                <w:rFonts w:cstheme="minorHAnsi"/>
              </w:rPr>
              <w:t>SA</w:t>
            </w:r>
          </w:p>
        </w:tc>
        <w:tc>
          <w:tcPr>
            <w:tcW w:w="1362" w:type="pct"/>
          </w:tcPr>
          <w:p w14:paraId="183372D3" w14:textId="77777777" w:rsidR="00106E54" w:rsidRPr="00ED0618" w:rsidRDefault="00106E54" w:rsidP="007C36E4">
            <w:pPr>
              <w:rPr>
                <w:rFonts w:cstheme="minorHAnsi"/>
                <w:bCs/>
              </w:rPr>
            </w:pPr>
            <w:r>
              <w:rPr>
                <w:rFonts w:cstheme="minorHAnsi"/>
                <w:bCs/>
              </w:rPr>
              <w:t>16 (6.1%)</w:t>
            </w:r>
          </w:p>
        </w:tc>
      </w:tr>
      <w:tr w:rsidR="00106E54" w:rsidRPr="00ED0618" w14:paraId="7E1728F6" w14:textId="77777777" w:rsidTr="00547014">
        <w:trPr>
          <w:trHeight w:val="340"/>
        </w:trPr>
        <w:tc>
          <w:tcPr>
            <w:tcW w:w="3638" w:type="pct"/>
          </w:tcPr>
          <w:p w14:paraId="1861AA1A" w14:textId="77777777" w:rsidR="00106E54" w:rsidRPr="00ED0618" w:rsidRDefault="00106E54" w:rsidP="007C36E4">
            <w:pPr>
              <w:rPr>
                <w:rFonts w:cstheme="minorHAnsi"/>
              </w:rPr>
            </w:pPr>
            <w:r w:rsidRPr="00ED0618">
              <w:rPr>
                <w:rFonts w:cstheme="minorHAnsi"/>
              </w:rPr>
              <w:t>TAS</w:t>
            </w:r>
          </w:p>
        </w:tc>
        <w:tc>
          <w:tcPr>
            <w:tcW w:w="1362" w:type="pct"/>
          </w:tcPr>
          <w:p w14:paraId="75C76914" w14:textId="77777777" w:rsidR="00106E54" w:rsidRPr="00ED0618" w:rsidRDefault="00106E54" w:rsidP="007C36E4">
            <w:pPr>
              <w:rPr>
                <w:rFonts w:cstheme="minorHAnsi"/>
                <w:bCs/>
              </w:rPr>
            </w:pPr>
            <w:r>
              <w:rPr>
                <w:rFonts w:cstheme="minorHAnsi"/>
                <w:bCs/>
              </w:rPr>
              <w:t>7 (2.7%)</w:t>
            </w:r>
          </w:p>
        </w:tc>
      </w:tr>
      <w:tr w:rsidR="00106E54" w:rsidRPr="00ED0618" w14:paraId="4432C7DF" w14:textId="77777777" w:rsidTr="00547014">
        <w:trPr>
          <w:trHeight w:val="340"/>
        </w:trPr>
        <w:tc>
          <w:tcPr>
            <w:tcW w:w="3638" w:type="pct"/>
          </w:tcPr>
          <w:p w14:paraId="598B5994" w14:textId="77777777" w:rsidR="00106E54" w:rsidRPr="00ED0618" w:rsidRDefault="00106E54" w:rsidP="007C36E4">
            <w:pPr>
              <w:rPr>
                <w:rFonts w:cstheme="minorHAnsi"/>
              </w:rPr>
            </w:pPr>
            <w:r w:rsidRPr="00ED0618">
              <w:rPr>
                <w:rFonts w:cstheme="minorHAnsi"/>
              </w:rPr>
              <w:t>ACT</w:t>
            </w:r>
          </w:p>
        </w:tc>
        <w:tc>
          <w:tcPr>
            <w:tcW w:w="1362" w:type="pct"/>
          </w:tcPr>
          <w:p w14:paraId="51F8787A" w14:textId="77777777" w:rsidR="00106E54" w:rsidRPr="00ED0618" w:rsidRDefault="00106E54" w:rsidP="007C36E4">
            <w:pPr>
              <w:rPr>
                <w:rFonts w:cstheme="minorHAnsi"/>
                <w:bCs/>
              </w:rPr>
            </w:pPr>
            <w:r>
              <w:rPr>
                <w:rFonts w:cstheme="minorHAnsi"/>
                <w:bCs/>
              </w:rPr>
              <w:t>4 (1.5%)</w:t>
            </w:r>
          </w:p>
        </w:tc>
      </w:tr>
      <w:tr w:rsidR="00106E54" w:rsidRPr="00ED0618" w14:paraId="03F33B83" w14:textId="77777777" w:rsidTr="00547014">
        <w:trPr>
          <w:trHeight w:val="340"/>
        </w:trPr>
        <w:tc>
          <w:tcPr>
            <w:tcW w:w="3638" w:type="pct"/>
          </w:tcPr>
          <w:p w14:paraId="6B2A90E6" w14:textId="77777777" w:rsidR="00106E54" w:rsidRPr="00ED0618" w:rsidRDefault="00106E54" w:rsidP="007C36E4">
            <w:pPr>
              <w:rPr>
                <w:rFonts w:cstheme="minorHAnsi"/>
              </w:rPr>
            </w:pPr>
            <w:r w:rsidRPr="00ED0618">
              <w:rPr>
                <w:rFonts w:cstheme="minorHAnsi"/>
              </w:rPr>
              <w:t>NT</w:t>
            </w:r>
          </w:p>
        </w:tc>
        <w:tc>
          <w:tcPr>
            <w:tcW w:w="1362" w:type="pct"/>
          </w:tcPr>
          <w:p w14:paraId="5B05AE0E" w14:textId="77777777" w:rsidR="00106E54" w:rsidRPr="00ED0618" w:rsidRDefault="00106E54" w:rsidP="007C36E4">
            <w:pPr>
              <w:rPr>
                <w:rFonts w:cstheme="minorHAnsi"/>
                <w:bCs/>
              </w:rPr>
            </w:pPr>
            <w:r>
              <w:rPr>
                <w:rFonts w:cstheme="minorHAnsi"/>
                <w:bCs/>
              </w:rPr>
              <w:t>2 (0.8%)</w:t>
            </w:r>
          </w:p>
        </w:tc>
      </w:tr>
      <w:tr w:rsidR="00106E54" w:rsidRPr="00ED0618" w14:paraId="6B2AE283" w14:textId="77777777" w:rsidTr="00547014">
        <w:trPr>
          <w:trHeight w:val="340"/>
        </w:trPr>
        <w:tc>
          <w:tcPr>
            <w:tcW w:w="3638" w:type="pct"/>
          </w:tcPr>
          <w:p w14:paraId="253EBDB3" w14:textId="77777777" w:rsidR="00106E54" w:rsidRPr="00ED0618" w:rsidRDefault="00106E54" w:rsidP="007C36E4">
            <w:pPr>
              <w:rPr>
                <w:rFonts w:cstheme="minorHAnsi"/>
              </w:rPr>
            </w:pPr>
            <w:r>
              <w:rPr>
                <w:rFonts w:cstheme="minorHAnsi"/>
              </w:rPr>
              <w:t>Australia-wide</w:t>
            </w:r>
          </w:p>
        </w:tc>
        <w:tc>
          <w:tcPr>
            <w:tcW w:w="1362" w:type="pct"/>
          </w:tcPr>
          <w:p w14:paraId="73003CD6" w14:textId="77777777" w:rsidR="00106E54" w:rsidRDefault="00106E54" w:rsidP="007C36E4">
            <w:pPr>
              <w:rPr>
                <w:rFonts w:cstheme="minorHAnsi"/>
                <w:bCs/>
              </w:rPr>
            </w:pPr>
            <w:r>
              <w:rPr>
                <w:rFonts w:cstheme="minorHAnsi"/>
                <w:bCs/>
              </w:rPr>
              <w:t>30 (11.4%)</w:t>
            </w:r>
          </w:p>
        </w:tc>
      </w:tr>
      <w:tr w:rsidR="00106E54" w:rsidRPr="00ED0618" w14:paraId="7B109D90" w14:textId="77777777" w:rsidTr="00547014">
        <w:trPr>
          <w:trHeight w:val="340"/>
        </w:trPr>
        <w:tc>
          <w:tcPr>
            <w:tcW w:w="3638" w:type="pct"/>
          </w:tcPr>
          <w:p w14:paraId="6740B6B2" w14:textId="77777777" w:rsidR="00106E54" w:rsidRPr="00ED0618" w:rsidRDefault="00106E54" w:rsidP="007C36E4">
            <w:pPr>
              <w:rPr>
                <w:rFonts w:cstheme="minorHAnsi"/>
                <w:b/>
              </w:rPr>
            </w:pPr>
            <w:r w:rsidRPr="00ED0618">
              <w:rPr>
                <w:rFonts w:cstheme="minorHAnsi"/>
              </w:rPr>
              <w:t>Not Answered</w:t>
            </w:r>
          </w:p>
        </w:tc>
        <w:tc>
          <w:tcPr>
            <w:tcW w:w="1362" w:type="pct"/>
          </w:tcPr>
          <w:p w14:paraId="38ADB54A" w14:textId="77777777" w:rsidR="00106E54" w:rsidRPr="00ED0618" w:rsidRDefault="00106E54" w:rsidP="007C36E4">
            <w:pPr>
              <w:rPr>
                <w:rFonts w:cstheme="minorHAnsi"/>
                <w:bCs/>
              </w:rPr>
            </w:pPr>
            <w:r>
              <w:rPr>
                <w:rFonts w:cstheme="minorHAnsi"/>
                <w:bCs/>
              </w:rPr>
              <w:t>161 (61.0%)</w:t>
            </w:r>
          </w:p>
        </w:tc>
      </w:tr>
    </w:tbl>
    <w:p w14:paraId="47799AAB" w14:textId="0E420FB3" w:rsidR="009649D2" w:rsidRDefault="009649D2" w:rsidP="007C36E4">
      <w:pPr>
        <w:pStyle w:val="Caption"/>
        <w:spacing w:before="0" w:after="0"/>
        <w:rPr>
          <w:rFonts w:cstheme="minorHAnsi"/>
          <w:b w:val="0"/>
          <w:sz w:val="24"/>
          <w:szCs w:val="24"/>
        </w:rPr>
      </w:pPr>
      <w:r>
        <w:rPr>
          <w:rFonts w:cstheme="minorHAnsi"/>
          <w:b w:val="0"/>
          <w:sz w:val="24"/>
          <w:szCs w:val="24"/>
        </w:rPr>
        <w:br w:type="page"/>
      </w:r>
    </w:p>
    <w:p w14:paraId="176102B9" w14:textId="77777777" w:rsidR="00106E54" w:rsidRPr="00ED0618" w:rsidRDefault="00106E54" w:rsidP="007C36E4">
      <w:pPr>
        <w:pStyle w:val="Caption"/>
        <w:spacing w:before="0" w:after="0"/>
        <w:rPr>
          <w:rFonts w:cstheme="minorHAnsi"/>
          <w:b w:val="0"/>
          <w:sz w:val="24"/>
          <w:szCs w:val="24"/>
        </w:rPr>
      </w:pPr>
    </w:p>
    <w:p w14:paraId="1F2F679E" w14:textId="77777777" w:rsidR="00106E54" w:rsidRPr="00ED0618" w:rsidRDefault="00106E54" w:rsidP="007C36E4">
      <w:pPr>
        <w:pStyle w:val="Caption"/>
        <w:spacing w:before="0" w:after="0"/>
        <w:rPr>
          <w:rFonts w:cstheme="minorHAnsi"/>
          <w:b w:val="0"/>
          <w:sz w:val="24"/>
          <w:szCs w:val="24"/>
        </w:rPr>
      </w:pPr>
      <w:r w:rsidRPr="00ED0618">
        <w:rPr>
          <w:rFonts w:cstheme="minorHAnsi"/>
          <w:sz w:val="24"/>
          <w:szCs w:val="24"/>
        </w:rPr>
        <w:t xml:space="preserve">Table </w:t>
      </w:r>
      <w:r>
        <w:rPr>
          <w:rFonts w:cstheme="minorHAnsi"/>
          <w:sz w:val="24"/>
          <w:szCs w:val="24"/>
        </w:rPr>
        <w:t>8</w:t>
      </w:r>
      <w:r w:rsidRPr="00ED0618">
        <w:rPr>
          <w:rFonts w:cstheme="minorHAnsi"/>
          <w:sz w:val="24"/>
          <w:szCs w:val="24"/>
        </w:rPr>
        <w:t xml:space="preserve"> Location of </w:t>
      </w:r>
      <w:r>
        <w:rPr>
          <w:rFonts w:cstheme="minorHAnsi"/>
          <w:sz w:val="24"/>
          <w:szCs w:val="24"/>
        </w:rPr>
        <w:t>organisations</w:t>
      </w:r>
      <w:r w:rsidRPr="00ED0618">
        <w:rPr>
          <w:rFonts w:cstheme="minorHAnsi"/>
          <w:sz w:val="24"/>
          <w:szCs w:val="24"/>
        </w:rPr>
        <w:t xml:space="preserve"> (categorised by metropolitan, regional or remote)</w:t>
      </w:r>
    </w:p>
    <w:p w14:paraId="78A6D589" w14:textId="77777777" w:rsidR="00106E54" w:rsidRDefault="00106E54" w:rsidP="007C36E4">
      <w:pPr>
        <w:rPr>
          <w:rFonts w:cstheme="minorHAnsi"/>
        </w:rPr>
      </w:pPr>
      <w:r w:rsidRPr="00ED0618">
        <w:rPr>
          <w:rFonts w:cstheme="minorHAnsi"/>
        </w:rPr>
        <w:t>Stakeholders completing the survey on behalf of an organisation were asked to specify whether the</w:t>
      </w:r>
      <w:r>
        <w:rPr>
          <w:rFonts w:cstheme="minorHAnsi"/>
        </w:rPr>
        <w:t xml:space="preserve"> organisation operates in</w:t>
      </w:r>
      <w:r w:rsidRPr="00ED0618">
        <w:rPr>
          <w:rFonts w:cstheme="minorHAnsi"/>
        </w:rPr>
        <w:t xml:space="preserve"> a metropolitan, regional or </w:t>
      </w:r>
      <w:r>
        <w:rPr>
          <w:rFonts w:cstheme="minorHAnsi"/>
        </w:rPr>
        <w:t>rural/</w:t>
      </w:r>
      <w:r w:rsidRPr="00ED0618">
        <w:rPr>
          <w:rFonts w:cstheme="minorHAnsi"/>
        </w:rPr>
        <w:t>remote area.</w:t>
      </w:r>
    </w:p>
    <w:p w14:paraId="335AF15D" w14:textId="77777777" w:rsidR="00106E54" w:rsidRPr="00ED0618" w:rsidRDefault="00106E54" w:rsidP="007C36E4">
      <w:pPr>
        <w:rPr>
          <w:rFonts w:cstheme="minorHAnsi"/>
          <w:b/>
        </w:rPr>
      </w:pPr>
    </w:p>
    <w:tbl>
      <w:tblPr>
        <w:tblStyle w:val="TableGrid"/>
        <w:tblW w:w="5000" w:type="pct"/>
        <w:tblLook w:val="04A0" w:firstRow="1" w:lastRow="0" w:firstColumn="1" w:lastColumn="0" w:noHBand="0" w:noVBand="1"/>
        <w:tblCaption w:val="Table 2 Location Respondents to Online Survey Lives or Operates"/>
        <w:tblDescription w:val="This table describes the number of online survey respondents who have not answered their location"/>
      </w:tblPr>
      <w:tblGrid>
        <w:gridCol w:w="6990"/>
        <w:gridCol w:w="2746"/>
      </w:tblGrid>
      <w:tr w:rsidR="00106E54" w:rsidRPr="00ED0618" w14:paraId="6DDAD110" w14:textId="77777777" w:rsidTr="00BC0E45">
        <w:trPr>
          <w:trHeight w:val="340"/>
        </w:trPr>
        <w:tc>
          <w:tcPr>
            <w:tcW w:w="3590" w:type="pct"/>
            <w:shd w:val="clear" w:color="auto" w:fill="516A8E"/>
          </w:tcPr>
          <w:p w14:paraId="42EA5BB8" w14:textId="77777777" w:rsidR="00106E54" w:rsidRPr="00ED0618" w:rsidRDefault="00106E54" w:rsidP="007C36E4">
            <w:pPr>
              <w:rPr>
                <w:rFonts w:cstheme="minorHAnsi"/>
                <w:b/>
                <w:bCs/>
                <w:color w:val="FFFFFF" w:themeColor="background1"/>
              </w:rPr>
            </w:pPr>
            <w:r w:rsidRPr="00ED0618">
              <w:rPr>
                <w:rFonts w:cstheme="minorHAnsi"/>
                <w:b/>
                <w:bCs/>
                <w:color w:val="FFFFFF" w:themeColor="background1"/>
              </w:rPr>
              <w:t>Location of stakeholders</w:t>
            </w:r>
          </w:p>
        </w:tc>
        <w:tc>
          <w:tcPr>
            <w:tcW w:w="1410" w:type="pct"/>
            <w:shd w:val="clear" w:color="auto" w:fill="516A8E"/>
          </w:tcPr>
          <w:p w14:paraId="33CD8101" w14:textId="77777777" w:rsidR="00106E54" w:rsidRPr="00ED0618" w:rsidRDefault="00106E54" w:rsidP="007C36E4">
            <w:pPr>
              <w:rPr>
                <w:rFonts w:cstheme="minorHAnsi"/>
                <w:b/>
                <w:bCs/>
                <w:color w:val="FFFFFF" w:themeColor="background1"/>
              </w:rPr>
            </w:pPr>
            <w:r w:rsidRPr="00ED0618">
              <w:rPr>
                <w:rFonts w:cstheme="minorHAnsi"/>
                <w:b/>
                <w:bCs/>
                <w:color w:val="FFFFFF" w:themeColor="background1"/>
              </w:rPr>
              <w:t xml:space="preserve">Online survey responses </w:t>
            </w:r>
          </w:p>
        </w:tc>
      </w:tr>
      <w:tr w:rsidR="00106E54" w:rsidRPr="00ED0618" w14:paraId="23D56CD8" w14:textId="77777777" w:rsidTr="00BC0E45">
        <w:trPr>
          <w:trHeight w:val="340"/>
        </w:trPr>
        <w:tc>
          <w:tcPr>
            <w:tcW w:w="3590" w:type="pct"/>
          </w:tcPr>
          <w:p w14:paraId="7E933A82" w14:textId="77777777" w:rsidR="00106E54" w:rsidRPr="00ED0618" w:rsidRDefault="00106E54" w:rsidP="007C36E4">
            <w:pPr>
              <w:rPr>
                <w:rFonts w:cstheme="minorHAnsi"/>
                <w:b/>
              </w:rPr>
            </w:pPr>
            <w:r w:rsidRPr="00ED0618">
              <w:rPr>
                <w:rFonts w:cstheme="minorHAnsi"/>
              </w:rPr>
              <w:t xml:space="preserve">Metropolitan </w:t>
            </w:r>
          </w:p>
        </w:tc>
        <w:tc>
          <w:tcPr>
            <w:tcW w:w="1410" w:type="pct"/>
          </w:tcPr>
          <w:p w14:paraId="71389C69" w14:textId="77777777" w:rsidR="00106E54" w:rsidRPr="00ED0618" w:rsidRDefault="00106E54" w:rsidP="007C36E4">
            <w:pPr>
              <w:rPr>
                <w:rFonts w:cstheme="minorHAnsi"/>
              </w:rPr>
            </w:pPr>
            <w:r>
              <w:rPr>
                <w:rFonts w:cstheme="minorHAnsi"/>
              </w:rPr>
              <w:t>82 (31.1%)</w:t>
            </w:r>
          </w:p>
        </w:tc>
      </w:tr>
      <w:tr w:rsidR="00106E54" w:rsidRPr="00ED0618" w14:paraId="24620366" w14:textId="77777777" w:rsidTr="00BC0E45">
        <w:trPr>
          <w:trHeight w:val="340"/>
        </w:trPr>
        <w:tc>
          <w:tcPr>
            <w:tcW w:w="3590" w:type="pct"/>
          </w:tcPr>
          <w:p w14:paraId="4DBD6852" w14:textId="77777777" w:rsidR="00106E54" w:rsidRPr="00ED0618" w:rsidRDefault="00106E54" w:rsidP="007C36E4">
            <w:pPr>
              <w:rPr>
                <w:rFonts w:cstheme="minorHAnsi"/>
                <w:b/>
              </w:rPr>
            </w:pPr>
            <w:r w:rsidRPr="00ED0618">
              <w:rPr>
                <w:rFonts w:cstheme="minorHAnsi"/>
              </w:rPr>
              <w:t>Regional</w:t>
            </w:r>
          </w:p>
        </w:tc>
        <w:tc>
          <w:tcPr>
            <w:tcW w:w="1410" w:type="pct"/>
          </w:tcPr>
          <w:p w14:paraId="7657E10F" w14:textId="77777777" w:rsidR="00106E54" w:rsidRPr="00ED0618" w:rsidRDefault="00106E54" w:rsidP="007C36E4">
            <w:pPr>
              <w:rPr>
                <w:rFonts w:cstheme="minorHAnsi"/>
              </w:rPr>
            </w:pPr>
            <w:r>
              <w:rPr>
                <w:rFonts w:cstheme="minorHAnsi"/>
              </w:rPr>
              <w:t>59 (22.4%)</w:t>
            </w:r>
          </w:p>
        </w:tc>
      </w:tr>
      <w:tr w:rsidR="00106E54" w:rsidRPr="00ED0618" w14:paraId="42393F00" w14:textId="77777777" w:rsidTr="00BC0E45">
        <w:trPr>
          <w:trHeight w:val="340"/>
        </w:trPr>
        <w:tc>
          <w:tcPr>
            <w:tcW w:w="3590" w:type="pct"/>
          </w:tcPr>
          <w:p w14:paraId="5F2918C6" w14:textId="77777777" w:rsidR="00106E54" w:rsidRPr="00ED0618" w:rsidRDefault="00106E54" w:rsidP="007C36E4">
            <w:pPr>
              <w:rPr>
                <w:rFonts w:cstheme="minorHAnsi"/>
              </w:rPr>
            </w:pPr>
            <w:r w:rsidRPr="00ED0618">
              <w:rPr>
                <w:rFonts w:cstheme="minorHAnsi"/>
              </w:rPr>
              <w:t>Rural/remote</w:t>
            </w:r>
          </w:p>
        </w:tc>
        <w:tc>
          <w:tcPr>
            <w:tcW w:w="1410" w:type="pct"/>
          </w:tcPr>
          <w:p w14:paraId="46A85106" w14:textId="77777777" w:rsidR="00106E54" w:rsidRPr="00ED0618" w:rsidRDefault="00106E54" w:rsidP="007C36E4">
            <w:pPr>
              <w:rPr>
                <w:rFonts w:cstheme="minorHAnsi"/>
              </w:rPr>
            </w:pPr>
            <w:r>
              <w:rPr>
                <w:rFonts w:cstheme="minorHAnsi"/>
              </w:rPr>
              <w:t>38 (14.4%)</w:t>
            </w:r>
          </w:p>
        </w:tc>
      </w:tr>
      <w:tr w:rsidR="00106E54" w:rsidRPr="00ED0618" w14:paraId="3B21355D" w14:textId="77777777" w:rsidTr="00BC0E45">
        <w:trPr>
          <w:trHeight w:val="340"/>
        </w:trPr>
        <w:tc>
          <w:tcPr>
            <w:tcW w:w="3590" w:type="pct"/>
          </w:tcPr>
          <w:p w14:paraId="2932CB74" w14:textId="77777777" w:rsidR="00106E54" w:rsidRPr="00ED0618" w:rsidRDefault="00106E54" w:rsidP="007C36E4">
            <w:pPr>
              <w:rPr>
                <w:rFonts w:cstheme="minorHAnsi"/>
                <w:b/>
              </w:rPr>
            </w:pPr>
            <w:r w:rsidRPr="00ED0618">
              <w:rPr>
                <w:rFonts w:cstheme="minorHAnsi"/>
              </w:rPr>
              <w:t>Not Answered</w:t>
            </w:r>
          </w:p>
        </w:tc>
        <w:tc>
          <w:tcPr>
            <w:tcW w:w="1410" w:type="pct"/>
          </w:tcPr>
          <w:p w14:paraId="1CB3DC90" w14:textId="77777777" w:rsidR="00106E54" w:rsidRPr="00ED0618" w:rsidRDefault="00106E54" w:rsidP="007C36E4">
            <w:pPr>
              <w:rPr>
                <w:rFonts w:cstheme="minorHAnsi"/>
              </w:rPr>
            </w:pPr>
            <w:r>
              <w:rPr>
                <w:rFonts w:cstheme="minorHAnsi"/>
              </w:rPr>
              <w:t>161 (61.0%)</w:t>
            </w:r>
          </w:p>
        </w:tc>
      </w:tr>
    </w:tbl>
    <w:p w14:paraId="0408FB58" w14:textId="77777777" w:rsidR="00106E54" w:rsidRDefault="00106E54" w:rsidP="007C36E4">
      <w:pPr>
        <w:rPr>
          <w:rFonts w:cstheme="minorHAnsi"/>
        </w:rPr>
      </w:pPr>
    </w:p>
    <w:p w14:paraId="679F082D" w14:textId="77777777" w:rsidR="00106E54" w:rsidRPr="00ED0618" w:rsidRDefault="00106E54" w:rsidP="007C36E4">
      <w:pPr>
        <w:pStyle w:val="Caption"/>
        <w:spacing w:before="0" w:after="0"/>
        <w:rPr>
          <w:rFonts w:cstheme="minorHAnsi"/>
          <w:b w:val="0"/>
          <w:sz w:val="24"/>
          <w:szCs w:val="24"/>
        </w:rPr>
      </w:pPr>
      <w:r w:rsidRPr="00ED0618">
        <w:rPr>
          <w:rFonts w:cstheme="minorHAnsi"/>
          <w:sz w:val="24"/>
          <w:szCs w:val="24"/>
        </w:rPr>
        <w:t xml:space="preserve">Table </w:t>
      </w:r>
      <w:r>
        <w:rPr>
          <w:rFonts w:cstheme="minorHAnsi"/>
          <w:sz w:val="24"/>
          <w:szCs w:val="24"/>
        </w:rPr>
        <w:t>9</w:t>
      </w:r>
      <w:r w:rsidRPr="00ED0618">
        <w:rPr>
          <w:rFonts w:cstheme="minorHAnsi"/>
          <w:sz w:val="24"/>
          <w:szCs w:val="24"/>
        </w:rPr>
        <w:t xml:space="preserve"> Type of aged care service provider</w:t>
      </w:r>
    </w:p>
    <w:p w14:paraId="5B09A2CD" w14:textId="77777777" w:rsidR="00106E54" w:rsidRDefault="00106E54" w:rsidP="007C36E4">
      <w:pPr>
        <w:rPr>
          <w:rFonts w:cstheme="minorHAnsi"/>
        </w:rPr>
      </w:pPr>
      <w:r w:rsidRPr="00ED0618">
        <w:rPr>
          <w:rFonts w:cstheme="minorHAnsi"/>
        </w:rPr>
        <w:t xml:space="preserve">Stakeholders who provide aged care services were asked to specify what types of care their service delivers and were able to choose more than one. </w:t>
      </w:r>
    </w:p>
    <w:p w14:paraId="1BB7875D" w14:textId="77777777" w:rsidR="00106E54" w:rsidRPr="00ED0618" w:rsidRDefault="00106E54" w:rsidP="007C36E4">
      <w:pPr>
        <w:rPr>
          <w:rFonts w:cstheme="minorHAnsi"/>
          <w:b/>
        </w:rPr>
      </w:pPr>
    </w:p>
    <w:tbl>
      <w:tblPr>
        <w:tblStyle w:val="TableGrid"/>
        <w:tblW w:w="5000" w:type="pct"/>
        <w:tblLook w:val="04A0" w:firstRow="1" w:lastRow="0" w:firstColumn="1" w:lastColumn="0" w:noHBand="0" w:noVBand="1"/>
        <w:tblCaption w:val="Table 2 Location Respondents to Online Survey Lives or Operates"/>
        <w:tblDescription w:val="This table describes the number of online survey respondents who have not answered their location"/>
      </w:tblPr>
      <w:tblGrid>
        <w:gridCol w:w="6942"/>
        <w:gridCol w:w="2794"/>
      </w:tblGrid>
      <w:tr w:rsidR="00106E54" w:rsidRPr="00ED0618" w14:paraId="59EDF283" w14:textId="77777777" w:rsidTr="00547014">
        <w:trPr>
          <w:trHeight w:val="340"/>
        </w:trPr>
        <w:tc>
          <w:tcPr>
            <w:tcW w:w="3565" w:type="pct"/>
            <w:shd w:val="clear" w:color="auto" w:fill="516A8E"/>
          </w:tcPr>
          <w:p w14:paraId="6AD0BC0C" w14:textId="77777777" w:rsidR="00106E54" w:rsidRPr="00ED0618" w:rsidRDefault="00106E54" w:rsidP="007C36E4">
            <w:pPr>
              <w:rPr>
                <w:rFonts w:cstheme="minorHAnsi"/>
                <w:b/>
                <w:bCs/>
                <w:color w:val="FFFFFF" w:themeColor="background1"/>
              </w:rPr>
            </w:pPr>
            <w:r w:rsidRPr="00ED0618">
              <w:rPr>
                <w:rFonts w:cstheme="minorHAnsi"/>
                <w:b/>
                <w:bCs/>
                <w:color w:val="FFFFFF" w:themeColor="background1"/>
              </w:rPr>
              <w:t xml:space="preserve">Types of care </w:t>
            </w:r>
          </w:p>
        </w:tc>
        <w:tc>
          <w:tcPr>
            <w:tcW w:w="1435" w:type="pct"/>
            <w:shd w:val="clear" w:color="auto" w:fill="516A8E"/>
          </w:tcPr>
          <w:p w14:paraId="64CAFA37" w14:textId="77777777" w:rsidR="00106E54" w:rsidRPr="00ED0618" w:rsidRDefault="00106E54" w:rsidP="007C36E4">
            <w:pPr>
              <w:rPr>
                <w:rFonts w:cstheme="minorHAnsi"/>
                <w:b/>
                <w:bCs/>
                <w:color w:val="FFFFFF" w:themeColor="background1"/>
              </w:rPr>
            </w:pPr>
            <w:r w:rsidRPr="00ED0618">
              <w:rPr>
                <w:rFonts w:cstheme="minorHAnsi"/>
                <w:b/>
                <w:bCs/>
                <w:color w:val="FFFFFF" w:themeColor="background1"/>
              </w:rPr>
              <w:t xml:space="preserve">Online survey responses </w:t>
            </w:r>
          </w:p>
        </w:tc>
      </w:tr>
      <w:tr w:rsidR="00106E54" w:rsidRPr="00ED0618" w14:paraId="0529343A" w14:textId="77777777" w:rsidTr="00547014">
        <w:trPr>
          <w:trHeight w:val="340"/>
        </w:trPr>
        <w:tc>
          <w:tcPr>
            <w:tcW w:w="3565" w:type="pct"/>
          </w:tcPr>
          <w:p w14:paraId="187D5FF6" w14:textId="77777777" w:rsidR="00106E54" w:rsidRPr="00ED0618" w:rsidRDefault="00106E54" w:rsidP="007C36E4">
            <w:pPr>
              <w:rPr>
                <w:rFonts w:cstheme="minorHAnsi"/>
              </w:rPr>
            </w:pPr>
            <w:r w:rsidRPr="00ED0618">
              <w:rPr>
                <w:rFonts w:cstheme="minorHAnsi"/>
              </w:rPr>
              <w:t xml:space="preserve">Residential care </w:t>
            </w:r>
          </w:p>
        </w:tc>
        <w:tc>
          <w:tcPr>
            <w:tcW w:w="1435" w:type="pct"/>
          </w:tcPr>
          <w:p w14:paraId="1CD72813" w14:textId="77777777" w:rsidR="00106E54" w:rsidRPr="00ED0618" w:rsidRDefault="00106E54" w:rsidP="007C36E4">
            <w:pPr>
              <w:rPr>
                <w:rFonts w:cstheme="minorHAnsi"/>
              </w:rPr>
            </w:pPr>
            <w:r>
              <w:rPr>
                <w:rFonts w:cstheme="minorHAnsi"/>
              </w:rPr>
              <w:t>32 (12.1%)</w:t>
            </w:r>
          </w:p>
        </w:tc>
      </w:tr>
      <w:tr w:rsidR="00106E54" w:rsidRPr="00ED0618" w14:paraId="598A8FAB" w14:textId="77777777" w:rsidTr="00547014">
        <w:trPr>
          <w:trHeight w:val="340"/>
        </w:trPr>
        <w:tc>
          <w:tcPr>
            <w:tcW w:w="3565" w:type="pct"/>
          </w:tcPr>
          <w:p w14:paraId="18C547F3" w14:textId="77777777" w:rsidR="00106E54" w:rsidRPr="00ED0618" w:rsidRDefault="00106E54" w:rsidP="007C36E4">
            <w:pPr>
              <w:rPr>
                <w:rFonts w:cstheme="minorHAnsi"/>
              </w:rPr>
            </w:pPr>
            <w:r w:rsidRPr="00ED0618">
              <w:rPr>
                <w:rFonts w:cstheme="minorHAnsi"/>
              </w:rPr>
              <w:t xml:space="preserve">Home care </w:t>
            </w:r>
          </w:p>
        </w:tc>
        <w:tc>
          <w:tcPr>
            <w:tcW w:w="1435" w:type="pct"/>
          </w:tcPr>
          <w:p w14:paraId="6365F590" w14:textId="77777777" w:rsidR="00106E54" w:rsidRPr="00ED0618" w:rsidRDefault="00106E54" w:rsidP="007C36E4">
            <w:pPr>
              <w:rPr>
                <w:rFonts w:cstheme="minorHAnsi"/>
              </w:rPr>
            </w:pPr>
            <w:r>
              <w:rPr>
                <w:rFonts w:cstheme="minorHAnsi"/>
              </w:rPr>
              <w:t>36 (13.6%)</w:t>
            </w:r>
          </w:p>
        </w:tc>
      </w:tr>
      <w:tr w:rsidR="00106E54" w:rsidRPr="00ED0618" w14:paraId="453CD75D" w14:textId="77777777" w:rsidTr="00547014">
        <w:trPr>
          <w:trHeight w:val="340"/>
        </w:trPr>
        <w:tc>
          <w:tcPr>
            <w:tcW w:w="3565" w:type="pct"/>
          </w:tcPr>
          <w:p w14:paraId="33B684B7" w14:textId="77777777" w:rsidR="00106E54" w:rsidRPr="00ED0618" w:rsidRDefault="00106E54" w:rsidP="007C36E4">
            <w:pPr>
              <w:rPr>
                <w:rFonts w:cstheme="minorHAnsi"/>
              </w:rPr>
            </w:pPr>
            <w:r w:rsidRPr="00ED0618">
              <w:rPr>
                <w:rFonts w:cstheme="minorHAnsi"/>
              </w:rPr>
              <w:t xml:space="preserve">Commonwealth Home Support Programme services </w:t>
            </w:r>
          </w:p>
        </w:tc>
        <w:tc>
          <w:tcPr>
            <w:tcW w:w="1435" w:type="pct"/>
          </w:tcPr>
          <w:p w14:paraId="7C0E220A" w14:textId="77777777" w:rsidR="00106E54" w:rsidRPr="00ED0618" w:rsidRDefault="00106E54" w:rsidP="007C36E4">
            <w:pPr>
              <w:rPr>
                <w:rFonts w:cstheme="minorHAnsi"/>
              </w:rPr>
            </w:pPr>
            <w:r>
              <w:rPr>
                <w:rFonts w:cstheme="minorHAnsi"/>
              </w:rPr>
              <w:t>26 (9.9%)</w:t>
            </w:r>
          </w:p>
        </w:tc>
      </w:tr>
      <w:tr w:rsidR="00106E54" w:rsidRPr="00ED0618" w14:paraId="3DA529DF" w14:textId="77777777" w:rsidTr="00547014">
        <w:trPr>
          <w:trHeight w:val="340"/>
        </w:trPr>
        <w:tc>
          <w:tcPr>
            <w:tcW w:w="3565" w:type="pct"/>
          </w:tcPr>
          <w:p w14:paraId="4A1EDCD5" w14:textId="77777777" w:rsidR="00106E54" w:rsidRPr="00ED0618" w:rsidRDefault="00106E54" w:rsidP="007C36E4">
            <w:pPr>
              <w:rPr>
                <w:rFonts w:cstheme="minorHAnsi"/>
              </w:rPr>
            </w:pPr>
            <w:r w:rsidRPr="00ED0618">
              <w:rPr>
                <w:rFonts w:cstheme="minorHAnsi"/>
              </w:rPr>
              <w:t xml:space="preserve">Transition care </w:t>
            </w:r>
          </w:p>
        </w:tc>
        <w:tc>
          <w:tcPr>
            <w:tcW w:w="1435" w:type="pct"/>
          </w:tcPr>
          <w:p w14:paraId="1D0AAD40" w14:textId="77777777" w:rsidR="00106E54" w:rsidRPr="00ED0618" w:rsidRDefault="00106E54" w:rsidP="007C36E4">
            <w:pPr>
              <w:rPr>
                <w:rFonts w:cstheme="minorHAnsi"/>
              </w:rPr>
            </w:pPr>
            <w:r>
              <w:rPr>
                <w:rFonts w:cstheme="minorHAnsi"/>
              </w:rPr>
              <w:t>11 (4.2%)</w:t>
            </w:r>
          </w:p>
        </w:tc>
      </w:tr>
      <w:tr w:rsidR="00106E54" w:rsidRPr="00ED0618" w14:paraId="470FEEDC" w14:textId="77777777" w:rsidTr="00547014">
        <w:trPr>
          <w:trHeight w:val="340"/>
        </w:trPr>
        <w:tc>
          <w:tcPr>
            <w:tcW w:w="3565" w:type="pct"/>
          </w:tcPr>
          <w:p w14:paraId="04441DA4" w14:textId="77777777" w:rsidR="00106E54" w:rsidRPr="00ED0618" w:rsidRDefault="00106E54" w:rsidP="007C36E4">
            <w:pPr>
              <w:rPr>
                <w:rFonts w:cstheme="minorHAnsi"/>
              </w:rPr>
            </w:pPr>
            <w:r w:rsidRPr="00ED0618">
              <w:rPr>
                <w:rFonts w:cstheme="minorHAnsi"/>
              </w:rPr>
              <w:t xml:space="preserve">National Aboriginal and Torres Strait Islander Program services </w:t>
            </w:r>
          </w:p>
        </w:tc>
        <w:tc>
          <w:tcPr>
            <w:tcW w:w="1435" w:type="pct"/>
          </w:tcPr>
          <w:p w14:paraId="4431D6F3" w14:textId="77777777" w:rsidR="00106E54" w:rsidRPr="00ED0618" w:rsidRDefault="00106E54" w:rsidP="007C36E4">
            <w:pPr>
              <w:rPr>
                <w:rFonts w:cstheme="minorHAnsi"/>
              </w:rPr>
            </w:pPr>
            <w:r>
              <w:rPr>
                <w:rFonts w:cstheme="minorHAnsi"/>
              </w:rPr>
              <w:t>2 (0.8%)</w:t>
            </w:r>
          </w:p>
        </w:tc>
      </w:tr>
      <w:tr w:rsidR="00106E54" w:rsidRPr="00ED0618" w14:paraId="12423214" w14:textId="77777777" w:rsidTr="00547014">
        <w:trPr>
          <w:trHeight w:val="340"/>
        </w:trPr>
        <w:tc>
          <w:tcPr>
            <w:tcW w:w="3565" w:type="pct"/>
          </w:tcPr>
          <w:p w14:paraId="494B4BCF" w14:textId="77777777" w:rsidR="00106E54" w:rsidRPr="00ED0618" w:rsidRDefault="00106E54" w:rsidP="007C36E4">
            <w:pPr>
              <w:rPr>
                <w:rFonts w:cstheme="minorHAnsi"/>
              </w:rPr>
            </w:pPr>
            <w:r w:rsidRPr="00ED0618">
              <w:rPr>
                <w:rFonts w:cstheme="minorHAnsi"/>
              </w:rPr>
              <w:t xml:space="preserve">Multi-purpose services </w:t>
            </w:r>
          </w:p>
        </w:tc>
        <w:tc>
          <w:tcPr>
            <w:tcW w:w="1435" w:type="pct"/>
          </w:tcPr>
          <w:p w14:paraId="68A80E87" w14:textId="77777777" w:rsidR="00106E54" w:rsidRPr="00ED0618" w:rsidRDefault="00106E54" w:rsidP="007C36E4">
            <w:pPr>
              <w:rPr>
                <w:rFonts w:cstheme="minorHAnsi"/>
              </w:rPr>
            </w:pPr>
            <w:r>
              <w:rPr>
                <w:rFonts w:cstheme="minorHAnsi"/>
              </w:rPr>
              <w:t>6 (2.3%)</w:t>
            </w:r>
          </w:p>
        </w:tc>
      </w:tr>
      <w:tr w:rsidR="00106E54" w:rsidRPr="00ED0618" w14:paraId="0FDCB57C" w14:textId="77777777" w:rsidTr="00547014">
        <w:trPr>
          <w:trHeight w:val="340"/>
        </w:trPr>
        <w:tc>
          <w:tcPr>
            <w:tcW w:w="3565" w:type="pct"/>
          </w:tcPr>
          <w:p w14:paraId="1087E55D" w14:textId="77777777" w:rsidR="00106E54" w:rsidRPr="00ED0618" w:rsidRDefault="00106E54" w:rsidP="007C36E4">
            <w:pPr>
              <w:rPr>
                <w:rFonts w:cstheme="minorHAnsi"/>
              </w:rPr>
            </w:pPr>
            <w:r w:rsidRPr="00ED0618">
              <w:rPr>
                <w:rFonts w:cstheme="minorHAnsi"/>
              </w:rPr>
              <w:t xml:space="preserve">Innovative care services </w:t>
            </w:r>
          </w:p>
        </w:tc>
        <w:tc>
          <w:tcPr>
            <w:tcW w:w="1435" w:type="pct"/>
          </w:tcPr>
          <w:p w14:paraId="4876C7D3" w14:textId="77777777" w:rsidR="00106E54" w:rsidRPr="00ED0618" w:rsidRDefault="00106E54" w:rsidP="007C36E4">
            <w:pPr>
              <w:rPr>
                <w:rFonts w:cstheme="minorHAnsi"/>
              </w:rPr>
            </w:pPr>
            <w:r>
              <w:rPr>
                <w:rFonts w:cstheme="minorHAnsi"/>
              </w:rPr>
              <w:t>5 (1.9%)</w:t>
            </w:r>
          </w:p>
        </w:tc>
      </w:tr>
      <w:tr w:rsidR="00106E54" w:rsidRPr="00ED0618" w14:paraId="3E52E725" w14:textId="77777777" w:rsidTr="00547014">
        <w:trPr>
          <w:trHeight w:val="340"/>
        </w:trPr>
        <w:tc>
          <w:tcPr>
            <w:tcW w:w="3565" w:type="pct"/>
          </w:tcPr>
          <w:p w14:paraId="212B02A2" w14:textId="77777777" w:rsidR="00106E54" w:rsidRPr="00ED0618" w:rsidRDefault="00106E54" w:rsidP="007C36E4">
            <w:pPr>
              <w:rPr>
                <w:rFonts w:cstheme="minorHAnsi"/>
              </w:rPr>
            </w:pPr>
            <w:r w:rsidRPr="00ED0618">
              <w:rPr>
                <w:rFonts w:cstheme="minorHAnsi"/>
              </w:rPr>
              <w:t xml:space="preserve">Short term restorative care services </w:t>
            </w:r>
          </w:p>
        </w:tc>
        <w:tc>
          <w:tcPr>
            <w:tcW w:w="1435" w:type="pct"/>
          </w:tcPr>
          <w:p w14:paraId="0A10B741" w14:textId="77777777" w:rsidR="00106E54" w:rsidRPr="00ED0618" w:rsidRDefault="00106E54" w:rsidP="007C36E4">
            <w:pPr>
              <w:rPr>
                <w:rFonts w:cstheme="minorHAnsi"/>
              </w:rPr>
            </w:pPr>
            <w:r>
              <w:rPr>
                <w:rFonts w:cstheme="minorHAnsi"/>
              </w:rPr>
              <w:t>10 (3.8%)</w:t>
            </w:r>
          </w:p>
        </w:tc>
      </w:tr>
      <w:tr w:rsidR="00106E54" w:rsidRPr="00ED0618" w14:paraId="278622AB" w14:textId="77777777" w:rsidTr="00547014">
        <w:trPr>
          <w:trHeight w:val="340"/>
        </w:trPr>
        <w:tc>
          <w:tcPr>
            <w:tcW w:w="3565" w:type="pct"/>
          </w:tcPr>
          <w:p w14:paraId="0D7A4891" w14:textId="77777777" w:rsidR="00106E54" w:rsidRPr="00ED0618" w:rsidRDefault="00106E54" w:rsidP="007C36E4">
            <w:pPr>
              <w:rPr>
                <w:rFonts w:cstheme="minorHAnsi"/>
                <w:b/>
              </w:rPr>
            </w:pPr>
            <w:r w:rsidRPr="00ED0618">
              <w:rPr>
                <w:rFonts w:cstheme="minorHAnsi"/>
              </w:rPr>
              <w:t>Not Answered</w:t>
            </w:r>
          </w:p>
        </w:tc>
        <w:tc>
          <w:tcPr>
            <w:tcW w:w="1435" w:type="pct"/>
          </w:tcPr>
          <w:p w14:paraId="273E9927" w14:textId="77777777" w:rsidR="00106E54" w:rsidRPr="00ED0618" w:rsidRDefault="00106E54" w:rsidP="007C36E4">
            <w:pPr>
              <w:rPr>
                <w:rFonts w:cstheme="minorHAnsi"/>
              </w:rPr>
            </w:pPr>
            <w:r>
              <w:rPr>
                <w:rFonts w:cstheme="minorHAnsi"/>
              </w:rPr>
              <w:t>208 (78.8%)</w:t>
            </w:r>
          </w:p>
        </w:tc>
      </w:tr>
    </w:tbl>
    <w:p w14:paraId="5FECC81F" w14:textId="77777777" w:rsidR="00106E54" w:rsidRPr="00ED0618" w:rsidRDefault="00106E54" w:rsidP="007C36E4">
      <w:pPr>
        <w:rPr>
          <w:rFonts w:cstheme="minorHAnsi"/>
        </w:rPr>
      </w:pPr>
    </w:p>
    <w:p w14:paraId="19C62A7A" w14:textId="77777777" w:rsidR="00106E54" w:rsidRPr="00ED0618" w:rsidRDefault="00106E54" w:rsidP="007C36E4">
      <w:pPr>
        <w:pStyle w:val="Caption"/>
        <w:spacing w:before="0" w:after="0"/>
        <w:rPr>
          <w:rFonts w:cstheme="minorHAnsi"/>
          <w:b w:val="0"/>
          <w:sz w:val="24"/>
          <w:szCs w:val="24"/>
        </w:rPr>
      </w:pPr>
      <w:r w:rsidRPr="0051429D">
        <w:rPr>
          <w:rFonts w:cstheme="minorHAnsi"/>
          <w:sz w:val="24"/>
          <w:szCs w:val="24"/>
        </w:rPr>
        <w:t>Table 10 Size of aged care service provider</w:t>
      </w:r>
      <w:r w:rsidRPr="00ED0618">
        <w:rPr>
          <w:rFonts w:cstheme="minorHAnsi"/>
          <w:sz w:val="24"/>
          <w:szCs w:val="24"/>
        </w:rPr>
        <w:t xml:space="preserve"> </w:t>
      </w:r>
    </w:p>
    <w:p w14:paraId="62583C4C" w14:textId="77777777" w:rsidR="00106E54" w:rsidRDefault="00106E54" w:rsidP="007C36E4">
      <w:pPr>
        <w:rPr>
          <w:rFonts w:cstheme="minorHAnsi"/>
        </w:rPr>
      </w:pPr>
      <w:r w:rsidRPr="00ED0618">
        <w:rPr>
          <w:rFonts w:cstheme="minorHAnsi"/>
        </w:rPr>
        <w:t xml:space="preserve">Stakeholders who provide aged care services were asked to specify the size of their organisation. </w:t>
      </w:r>
    </w:p>
    <w:p w14:paraId="6E0E0F5E" w14:textId="77777777" w:rsidR="00106E54" w:rsidRPr="00ED0618" w:rsidRDefault="00106E54" w:rsidP="007C36E4">
      <w:pPr>
        <w:rPr>
          <w:rFonts w:cstheme="minorHAnsi"/>
          <w:b/>
        </w:rPr>
      </w:pPr>
    </w:p>
    <w:tbl>
      <w:tblPr>
        <w:tblStyle w:val="TableGrid"/>
        <w:tblW w:w="5000" w:type="pct"/>
        <w:tblLook w:val="04A0" w:firstRow="1" w:lastRow="0" w:firstColumn="1" w:lastColumn="0" w:noHBand="0" w:noVBand="1"/>
        <w:tblCaption w:val="Table 2 Location Respondents to Online Survey Lives or Operates"/>
        <w:tblDescription w:val="This table describes the number of online survey respondents who have not answered their location"/>
      </w:tblPr>
      <w:tblGrid>
        <w:gridCol w:w="6942"/>
        <w:gridCol w:w="2794"/>
      </w:tblGrid>
      <w:tr w:rsidR="00106E54" w:rsidRPr="00ED0618" w14:paraId="262DE2BD" w14:textId="77777777" w:rsidTr="00547014">
        <w:trPr>
          <w:trHeight w:val="340"/>
        </w:trPr>
        <w:tc>
          <w:tcPr>
            <w:tcW w:w="3565" w:type="pct"/>
            <w:shd w:val="clear" w:color="auto" w:fill="516A8E"/>
          </w:tcPr>
          <w:p w14:paraId="2C70683C" w14:textId="77777777" w:rsidR="00106E54" w:rsidRPr="00ED0618" w:rsidRDefault="00106E54" w:rsidP="007C36E4">
            <w:pPr>
              <w:rPr>
                <w:rFonts w:cstheme="minorHAnsi"/>
                <w:b/>
                <w:bCs/>
                <w:color w:val="FFFFFF" w:themeColor="background1"/>
              </w:rPr>
            </w:pPr>
            <w:r w:rsidRPr="00ED0618">
              <w:rPr>
                <w:rFonts w:cstheme="minorHAnsi"/>
                <w:b/>
                <w:bCs/>
                <w:color w:val="FFFFFF" w:themeColor="background1"/>
              </w:rPr>
              <w:t xml:space="preserve">Size of aged care service provider </w:t>
            </w:r>
          </w:p>
        </w:tc>
        <w:tc>
          <w:tcPr>
            <w:tcW w:w="1435" w:type="pct"/>
            <w:shd w:val="clear" w:color="auto" w:fill="516A8E"/>
          </w:tcPr>
          <w:p w14:paraId="6F5B8C9A" w14:textId="77777777" w:rsidR="00106E54" w:rsidRPr="00ED0618" w:rsidRDefault="00106E54" w:rsidP="007C36E4">
            <w:pPr>
              <w:rPr>
                <w:rFonts w:cstheme="minorHAnsi"/>
                <w:b/>
                <w:bCs/>
                <w:color w:val="FFFFFF" w:themeColor="background1"/>
              </w:rPr>
            </w:pPr>
            <w:r w:rsidRPr="00ED0618">
              <w:rPr>
                <w:rFonts w:cstheme="minorHAnsi"/>
                <w:b/>
                <w:bCs/>
                <w:color w:val="FFFFFF" w:themeColor="background1"/>
              </w:rPr>
              <w:t xml:space="preserve">Online survey responses </w:t>
            </w:r>
          </w:p>
        </w:tc>
      </w:tr>
      <w:tr w:rsidR="00106E54" w:rsidRPr="00ED0618" w14:paraId="61A6880C" w14:textId="77777777" w:rsidTr="00547014">
        <w:trPr>
          <w:trHeight w:val="340"/>
        </w:trPr>
        <w:tc>
          <w:tcPr>
            <w:tcW w:w="3565" w:type="pct"/>
          </w:tcPr>
          <w:p w14:paraId="49602AA0" w14:textId="77777777" w:rsidR="00106E54" w:rsidRPr="00ED0618" w:rsidRDefault="00106E54" w:rsidP="007C36E4">
            <w:pPr>
              <w:rPr>
                <w:rFonts w:cstheme="minorHAnsi"/>
              </w:rPr>
            </w:pPr>
            <w:r w:rsidRPr="00ED0618">
              <w:rPr>
                <w:rFonts w:cstheme="minorHAnsi"/>
              </w:rPr>
              <w:t xml:space="preserve">Small </w:t>
            </w:r>
          </w:p>
        </w:tc>
        <w:tc>
          <w:tcPr>
            <w:tcW w:w="1435" w:type="pct"/>
          </w:tcPr>
          <w:p w14:paraId="09501E49" w14:textId="77777777" w:rsidR="00106E54" w:rsidRPr="00ED0618" w:rsidRDefault="00106E54" w:rsidP="007C36E4">
            <w:pPr>
              <w:rPr>
                <w:rFonts w:cstheme="minorHAnsi"/>
              </w:rPr>
            </w:pPr>
            <w:r>
              <w:rPr>
                <w:rFonts w:cstheme="minorHAnsi"/>
              </w:rPr>
              <w:t>24 (9.1%)</w:t>
            </w:r>
          </w:p>
        </w:tc>
      </w:tr>
      <w:tr w:rsidR="00106E54" w:rsidRPr="00ED0618" w14:paraId="35AA004F" w14:textId="77777777" w:rsidTr="00547014">
        <w:trPr>
          <w:trHeight w:val="340"/>
        </w:trPr>
        <w:tc>
          <w:tcPr>
            <w:tcW w:w="3565" w:type="pct"/>
          </w:tcPr>
          <w:p w14:paraId="4CBE10AC" w14:textId="77777777" w:rsidR="00106E54" w:rsidRPr="00ED0618" w:rsidRDefault="00106E54" w:rsidP="007C36E4">
            <w:pPr>
              <w:rPr>
                <w:rFonts w:cstheme="minorHAnsi"/>
              </w:rPr>
            </w:pPr>
            <w:r w:rsidRPr="00ED0618">
              <w:rPr>
                <w:rFonts w:cstheme="minorHAnsi"/>
              </w:rPr>
              <w:t xml:space="preserve">Medium </w:t>
            </w:r>
          </w:p>
        </w:tc>
        <w:tc>
          <w:tcPr>
            <w:tcW w:w="1435" w:type="pct"/>
          </w:tcPr>
          <w:p w14:paraId="329267EF" w14:textId="77777777" w:rsidR="00106E54" w:rsidRPr="00ED0618" w:rsidRDefault="00106E54" w:rsidP="007C36E4">
            <w:pPr>
              <w:rPr>
                <w:rFonts w:cstheme="minorHAnsi"/>
              </w:rPr>
            </w:pPr>
            <w:r>
              <w:rPr>
                <w:rFonts w:cstheme="minorHAnsi"/>
              </w:rPr>
              <w:t>18 (6.8%)</w:t>
            </w:r>
          </w:p>
        </w:tc>
      </w:tr>
      <w:tr w:rsidR="00106E54" w:rsidRPr="00ED0618" w14:paraId="6A952E21" w14:textId="77777777" w:rsidTr="00547014">
        <w:trPr>
          <w:trHeight w:val="340"/>
        </w:trPr>
        <w:tc>
          <w:tcPr>
            <w:tcW w:w="3565" w:type="pct"/>
          </w:tcPr>
          <w:p w14:paraId="55DAB149" w14:textId="77777777" w:rsidR="00106E54" w:rsidRPr="00ED0618" w:rsidRDefault="00106E54" w:rsidP="007C36E4">
            <w:pPr>
              <w:rPr>
                <w:rFonts w:cstheme="minorHAnsi"/>
              </w:rPr>
            </w:pPr>
            <w:r w:rsidRPr="00ED0618">
              <w:rPr>
                <w:rFonts w:cstheme="minorHAnsi"/>
              </w:rPr>
              <w:t xml:space="preserve">Large </w:t>
            </w:r>
          </w:p>
        </w:tc>
        <w:tc>
          <w:tcPr>
            <w:tcW w:w="1435" w:type="pct"/>
          </w:tcPr>
          <w:p w14:paraId="41D02E83" w14:textId="77777777" w:rsidR="00106E54" w:rsidRPr="00ED0618" w:rsidRDefault="00106E54" w:rsidP="007C36E4">
            <w:pPr>
              <w:rPr>
                <w:rFonts w:cstheme="minorHAnsi"/>
              </w:rPr>
            </w:pPr>
            <w:r>
              <w:rPr>
                <w:rFonts w:cstheme="minorHAnsi"/>
              </w:rPr>
              <w:t>11 (4.2%)</w:t>
            </w:r>
          </w:p>
        </w:tc>
      </w:tr>
      <w:tr w:rsidR="00106E54" w:rsidRPr="00ED0618" w14:paraId="4E4159E7" w14:textId="77777777" w:rsidTr="00547014">
        <w:trPr>
          <w:trHeight w:val="340"/>
        </w:trPr>
        <w:tc>
          <w:tcPr>
            <w:tcW w:w="3565" w:type="pct"/>
          </w:tcPr>
          <w:p w14:paraId="7817A052" w14:textId="77777777" w:rsidR="00106E54" w:rsidRPr="00ED0618" w:rsidRDefault="00106E54" w:rsidP="007C36E4">
            <w:pPr>
              <w:rPr>
                <w:rFonts w:cstheme="minorHAnsi"/>
              </w:rPr>
            </w:pPr>
            <w:r w:rsidRPr="00ED0618">
              <w:rPr>
                <w:rFonts w:cstheme="minorHAnsi"/>
              </w:rPr>
              <w:t xml:space="preserve">Very large </w:t>
            </w:r>
          </w:p>
        </w:tc>
        <w:tc>
          <w:tcPr>
            <w:tcW w:w="1435" w:type="pct"/>
          </w:tcPr>
          <w:p w14:paraId="3D6E5F0D" w14:textId="77777777" w:rsidR="00106E54" w:rsidRPr="00ED0618" w:rsidRDefault="00106E54" w:rsidP="007C36E4">
            <w:pPr>
              <w:rPr>
                <w:rFonts w:cstheme="minorHAnsi"/>
              </w:rPr>
            </w:pPr>
            <w:r>
              <w:rPr>
                <w:rFonts w:cstheme="minorHAnsi"/>
              </w:rPr>
              <w:t>3 (1.1%)</w:t>
            </w:r>
          </w:p>
        </w:tc>
      </w:tr>
    </w:tbl>
    <w:p w14:paraId="3C22C723" w14:textId="77777777" w:rsidR="00106E54" w:rsidRPr="00ED0618" w:rsidRDefault="00106E54" w:rsidP="007C36E4">
      <w:pPr>
        <w:rPr>
          <w:rFonts w:cstheme="minorHAnsi"/>
        </w:rPr>
      </w:pPr>
    </w:p>
    <w:p w14:paraId="1397E5C7" w14:textId="1728954B" w:rsidR="00106E54" w:rsidRDefault="00106E54" w:rsidP="007C36E4">
      <w:pPr>
        <w:pStyle w:val="mpcNormal"/>
        <w:rPr>
          <w:b/>
          <w:bCs/>
        </w:rPr>
      </w:pPr>
    </w:p>
    <w:p w14:paraId="0AF421D6" w14:textId="52C2BC13" w:rsidR="00106E54" w:rsidRDefault="00106E54" w:rsidP="007C36E4">
      <w:pPr>
        <w:pStyle w:val="mpcNormal"/>
        <w:rPr>
          <w:b/>
          <w:bCs/>
        </w:rPr>
      </w:pPr>
    </w:p>
    <w:p w14:paraId="13B5FAA0" w14:textId="4E1C8E38" w:rsidR="00106E54" w:rsidRDefault="00106E54" w:rsidP="007C36E4">
      <w:pPr>
        <w:rPr>
          <w:b/>
          <w:bCs/>
        </w:rPr>
      </w:pPr>
      <w:r>
        <w:rPr>
          <w:b/>
          <w:bCs/>
        </w:rPr>
        <w:br w:type="page"/>
      </w:r>
    </w:p>
    <w:p w14:paraId="7BF12C21" w14:textId="77777777" w:rsidR="00106E54" w:rsidRPr="00970433" w:rsidRDefault="00106E54" w:rsidP="007C36E4">
      <w:pPr>
        <w:pStyle w:val="mpcheading1"/>
        <w:rPr>
          <w:i/>
        </w:rPr>
      </w:pPr>
      <w:bookmarkStart w:id="83" w:name="_Toc45868457"/>
      <w:bookmarkStart w:id="84" w:name="_Toc49253264"/>
      <w:r w:rsidRPr="00E801A5">
        <w:lastRenderedPageBreak/>
        <w:t>Attachment</w:t>
      </w:r>
      <w:r w:rsidRPr="00970433">
        <w:t xml:space="preserve"> B: Responses to key online consultation questions</w:t>
      </w:r>
      <w:bookmarkEnd w:id="83"/>
      <w:bookmarkEnd w:id="84"/>
    </w:p>
    <w:p w14:paraId="1CD6A692" w14:textId="1E19386B" w:rsidR="00106E54" w:rsidRPr="00970433" w:rsidRDefault="00106E54" w:rsidP="007C36E4">
      <w:pPr>
        <w:rPr>
          <w:rFonts w:ascii="Calibri" w:hAnsi="Calibri" w:cs="Calibri"/>
        </w:rPr>
      </w:pPr>
      <w:r w:rsidRPr="00970433">
        <w:rPr>
          <w:rFonts w:ascii="Calibri" w:hAnsi="Calibri" w:cs="Calibri"/>
        </w:rPr>
        <w:t xml:space="preserve">In total, </w:t>
      </w:r>
      <w:r>
        <w:rPr>
          <w:rFonts w:ascii="Calibri" w:hAnsi="Calibri" w:cs="Calibri"/>
        </w:rPr>
        <w:t>264</w:t>
      </w:r>
      <w:r w:rsidRPr="00970433">
        <w:rPr>
          <w:rFonts w:ascii="Calibri" w:hAnsi="Calibri" w:cs="Calibri"/>
        </w:rPr>
        <w:t xml:space="preserve"> submissions were received </w:t>
      </w:r>
      <w:r>
        <w:rPr>
          <w:rFonts w:ascii="Calibri" w:hAnsi="Calibri" w:cs="Calibri"/>
        </w:rPr>
        <w:t>in response to</w:t>
      </w:r>
      <w:r w:rsidRPr="00970433">
        <w:rPr>
          <w:rFonts w:ascii="Calibri" w:hAnsi="Calibri" w:cs="Calibri"/>
        </w:rPr>
        <w:t xml:space="preserve"> the </w:t>
      </w:r>
      <w:r w:rsidRPr="00970433">
        <w:rPr>
          <w:rFonts w:ascii="Calibri" w:hAnsi="Calibri" w:cs="Calibri"/>
          <w:i/>
        </w:rPr>
        <w:t>Aged Care Worker Regulation Scheme Consultation</w:t>
      </w:r>
      <w:r>
        <w:rPr>
          <w:rFonts w:ascii="Calibri" w:hAnsi="Calibri" w:cs="Calibri"/>
          <w:i/>
        </w:rPr>
        <w:t xml:space="preserve"> </w:t>
      </w:r>
      <w:r w:rsidRPr="003B3834">
        <w:rPr>
          <w:rFonts w:ascii="Calibri" w:hAnsi="Calibri" w:cs="Calibri"/>
          <w:iCs/>
        </w:rPr>
        <w:t xml:space="preserve">online survey. </w:t>
      </w:r>
      <w:r w:rsidRPr="005247D0">
        <w:rPr>
          <w:rFonts w:cstheme="minorHAnsi"/>
          <w:iCs/>
        </w:rPr>
        <w:t>The data</w:t>
      </w:r>
      <w:r w:rsidRPr="00ED0618">
        <w:rPr>
          <w:rFonts w:cstheme="minorHAnsi"/>
        </w:rPr>
        <w:t xml:space="preserve"> in this </w:t>
      </w:r>
      <w:r>
        <w:rPr>
          <w:rFonts w:cstheme="minorHAnsi"/>
        </w:rPr>
        <w:t>a</w:t>
      </w:r>
      <w:r w:rsidRPr="00ED0618">
        <w:rPr>
          <w:rFonts w:cstheme="minorHAnsi"/>
        </w:rPr>
        <w:t>ttachment relates to the responses to the online survey</w:t>
      </w:r>
      <w:r>
        <w:rPr>
          <w:rFonts w:cstheme="minorHAnsi"/>
        </w:rPr>
        <w:t xml:space="preserve"> and does not include the further 12 submissions that were not submitted through the online platform</w:t>
      </w:r>
      <w:r>
        <w:rPr>
          <w:rFonts w:ascii="Calibri" w:hAnsi="Calibri" w:cs="Calibri"/>
        </w:rPr>
        <w:t xml:space="preserve">. </w:t>
      </w:r>
      <w:r w:rsidRPr="00970433">
        <w:rPr>
          <w:rFonts w:ascii="Calibri" w:hAnsi="Calibri" w:cs="Calibri"/>
        </w:rPr>
        <w:t>Please note that the number of responses</w:t>
      </w:r>
      <w:r>
        <w:rPr>
          <w:rFonts w:ascii="Calibri" w:hAnsi="Calibri" w:cs="Calibri"/>
        </w:rPr>
        <w:t xml:space="preserve"> reflected</w:t>
      </w:r>
      <w:r w:rsidRPr="00970433">
        <w:rPr>
          <w:rFonts w:ascii="Calibri" w:hAnsi="Calibri" w:cs="Calibri"/>
        </w:rPr>
        <w:t xml:space="preserve"> in some</w:t>
      </w:r>
      <w:r>
        <w:rPr>
          <w:rFonts w:ascii="Calibri" w:hAnsi="Calibri" w:cs="Calibri"/>
        </w:rPr>
        <w:t xml:space="preserve"> of the</w:t>
      </w:r>
      <w:r w:rsidRPr="00970433">
        <w:rPr>
          <w:rFonts w:ascii="Calibri" w:hAnsi="Calibri" w:cs="Calibri"/>
        </w:rPr>
        <w:t xml:space="preserve"> tables</w:t>
      </w:r>
      <w:r>
        <w:rPr>
          <w:rFonts w:ascii="Calibri" w:hAnsi="Calibri" w:cs="Calibri"/>
        </w:rPr>
        <w:t xml:space="preserve"> below,</w:t>
      </w:r>
      <w:r w:rsidRPr="00970433">
        <w:rPr>
          <w:rFonts w:ascii="Calibri" w:hAnsi="Calibri" w:cs="Calibri"/>
        </w:rPr>
        <w:t xml:space="preserve"> does not correlate with the number of surveys completed because stakeholders were able to select multiple responses to some questions. </w:t>
      </w:r>
    </w:p>
    <w:p w14:paraId="71C0ED01" w14:textId="77777777" w:rsidR="00106E54" w:rsidRPr="00970433" w:rsidRDefault="00106E54" w:rsidP="007C36E4">
      <w:pPr>
        <w:rPr>
          <w:rFonts w:ascii="Calibri" w:hAnsi="Calibri" w:cs="Calibri"/>
        </w:rPr>
      </w:pPr>
    </w:p>
    <w:p w14:paraId="11512186" w14:textId="77777777" w:rsidR="00106E54" w:rsidRPr="00970433" w:rsidRDefault="00106E54" w:rsidP="007C36E4">
      <w:pPr>
        <w:pStyle w:val="Caption"/>
        <w:spacing w:before="0" w:after="0"/>
        <w:rPr>
          <w:rFonts w:ascii="Calibri" w:hAnsi="Calibri" w:cs="Calibri"/>
          <w:b w:val="0"/>
          <w:sz w:val="24"/>
          <w:szCs w:val="24"/>
        </w:rPr>
      </w:pPr>
      <w:r w:rsidRPr="00970433">
        <w:rPr>
          <w:rFonts w:ascii="Calibri" w:hAnsi="Calibri" w:cs="Calibri"/>
          <w:sz w:val="24"/>
          <w:szCs w:val="24"/>
        </w:rPr>
        <w:t xml:space="preserve">Table </w:t>
      </w:r>
      <w:r w:rsidRPr="00970433">
        <w:rPr>
          <w:rFonts w:ascii="Calibri" w:hAnsi="Calibri" w:cs="Calibri"/>
          <w:b w:val="0"/>
          <w:sz w:val="24"/>
          <w:szCs w:val="24"/>
        </w:rPr>
        <w:fldChar w:fldCharType="begin"/>
      </w:r>
      <w:r w:rsidRPr="00970433">
        <w:rPr>
          <w:rFonts w:ascii="Calibri" w:hAnsi="Calibri" w:cs="Calibri"/>
          <w:sz w:val="24"/>
          <w:szCs w:val="24"/>
        </w:rPr>
        <w:instrText xml:space="preserve"> SEQ Table \* ARABIC </w:instrText>
      </w:r>
      <w:r w:rsidRPr="00970433">
        <w:rPr>
          <w:rFonts w:ascii="Calibri" w:hAnsi="Calibri" w:cs="Calibri"/>
          <w:b w:val="0"/>
          <w:sz w:val="24"/>
          <w:szCs w:val="24"/>
        </w:rPr>
        <w:fldChar w:fldCharType="separate"/>
      </w:r>
      <w:r w:rsidRPr="00970433">
        <w:rPr>
          <w:rFonts w:ascii="Calibri" w:hAnsi="Calibri" w:cs="Calibri"/>
          <w:noProof/>
          <w:sz w:val="24"/>
          <w:szCs w:val="24"/>
        </w:rPr>
        <w:t>1</w:t>
      </w:r>
      <w:r w:rsidRPr="00970433">
        <w:rPr>
          <w:rFonts w:ascii="Calibri" w:hAnsi="Calibri" w:cs="Calibri"/>
          <w:b w:val="0"/>
          <w:sz w:val="24"/>
          <w:szCs w:val="24"/>
        </w:rPr>
        <w:fldChar w:fldCharType="end"/>
      </w:r>
      <w:r w:rsidRPr="00970433">
        <w:rPr>
          <w:rFonts w:ascii="Calibri" w:hAnsi="Calibri" w:cs="Calibri"/>
          <w:sz w:val="24"/>
          <w:szCs w:val="24"/>
        </w:rPr>
        <w:t xml:space="preserve"> Approach to criminal history screening</w:t>
      </w:r>
    </w:p>
    <w:p w14:paraId="707FC35B" w14:textId="77777777" w:rsidR="00106E54" w:rsidRPr="00970433" w:rsidRDefault="00106E54" w:rsidP="007C36E4">
      <w:pPr>
        <w:rPr>
          <w:rFonts w:ascii="Calibri" w:hAnsi="Calibri" w:cs="Calibri"/>
        </w:rPr>
      </w:pPr>
      <w:r w:rsidRPr="00970433">
        <w:rPr>
          <w:rFonts w:ascii="Calibri" w:hAnsi="Calibri" w:cs="Calibri"/>
        </w:rPr>
        <w:t>Stakeholders were asked to select their preferred approach to aged care worker criminal history assessments.</w:t>
      </w:r>
    </w:p>
    <w:p w14:paraId="7076644E" w14:textId="77777777" w:rsidR="00106E54" w:rsidRPr="00970433" w:rsidRDefault="00106E54" w:rsidP="007C36E4">
      <w:pPr>
        <w:rPr>
          <w:rFonts w:ascii="Calibri" w:hAnsi="Calibri" w:cs="Calibri"/>
        </w:rPr>
      </w:pPr>
    </w:p>
    <w:tbl>
      <w:tblPr>
        <w:tblStyle w:val="TableGrid"/>
        <w:tblW w:w="5000" w:type="pct"/>
        <w:tblLook w:val="04A0" w:firstRow="1" w:lastRow="0" w:firstColumn="1" w:lastColumn="0" w:noHBand="0" w:noVBand="1"/>
        <w:tblDescription w:val="Filtered Results"/>
      </w:tblPr>
      <w:tblGrid>
        <w:gridCol w:w="7917"/>
        <w:gridCol w:w="725"/>
        <w:gridCol w:w="1094"/>
      </w:tblGrid>
      <w:tr w:rsidR="00106E54" w:rsidRPr="00970433" w14:paraId="2CE79FBB" w14:textId="77777777" w:rsidTr="00BC0E45">
        <w:tc>
          <w:tcPr>
            <w:tcW w:w="4065" w:type="pct"/>
            <w:shd w:val="clear" w:color="auto" w:fill="516A8E"/>
            <w:hideMark/>
          </w:tcPr>
          <w:p w14:paraId="08F2F40F" w14:textId="77777777" w:rsidR="00106E54" w:rsidRPr="00970433" w:rsidRDefault="00106E54" w:rsidP="007C36E4">
            <w:pPr>
              <w:rPr>
                <w:rFonts w:ascii="Calibri" w:hAnsi="Calibri" w:cs="Calibri"/>
                <w:b/>
                <w:bCs/>
                <w:color w:val="FFFFFF" w:themeColor="background1"/>
              </w:rPr>
            </w:pPr>
            <w:r w:rsidRPr="00970433">
              <w:rPr>
                <w:rFonts w:ascii="Calibri" w:hAnsi="Calibri" w:cs="Calibri"/>
                <w:b/>
                <w:bCs/>
                <w:color w:val="FFFFFF" w:themeColor="background1"/>
              </w:rPr>
              <w:t>Option</w:t>
            </w:r>
          </w:p>
        </w:tc>
        <w:tc>
          <w:tcPr>
            <w:tcW w:w="372" w:type="pct"/>
            <w:shd w:val="clear" w:color="auto" w:fill="516A8E"/>
            <w:hideMark/>
          </w:tcPr>
          <w:p w14:paraId="6B899054" w14:textId="77777777" w:rsidR="00106E54" w:rsidRPr="00970433" w:rsidRDefault="00106E54" w:rsidP="007C36E4">
            <w:pPr>
              <w:rPr>
                <w:rFonts w:ascii="Calibri" w:hAnsi="Calibri" w:cs="Calibri"/>
                <w:b/>
                <w:bCs/>
                <w:color w:val="FFFFFF" w:themeColor="background1"/>
              </w:rPr>
            </w:pPr>
            <w:r w:rsidRPr="00970433">
              <w:rPr>
                <w:rFonts w:ascii="Calibri" w:hAnsi="Calibri" w:cs="Calibri"/>
                <w:b/>
                <w:bCs/>
                <w:color w:val="FFFFFF" w:themeColor="background1"/>
              </w:rPr>
              <w:t>Total</w:t>
            </w:r>
          </w:p>
        </w:tc>
        <w:tc>
          <w:tcPr>
            <w:tcW w:w="562" w:type="pct"/>
            <w:shd w:val="clear" w:color="auto" w:fill="516A8E"/>
            <w:hideMark/>
          </w:tcPr>
          <w:p w14:paraId="1772DF27" w14:textId="7732C1A7" w:rsidR="00106E54" w:rsidRPr="00970433" w:rsidRDefault="00106E54" w:rsidP="007C36E4">
            <w:pPr>
              <w:rPr>
                <w:rFonts w:ascii="Calibri" w:hAnsi="Calibri" w:cs="Calibri"/>
                <w:b/>
                <w:bCs/>
                <w:color w:val="FFFFFF" w:themeColor="background1"/>
              </w:rPr>
            </w:pPr>
            <w:r w:rsidRPr="00970433">
              <w:rPr>
                <w:rFonts w:ascii="Calibri" w:hAnsi="Calibri" w:cs="Calibri"/>
                <w:b/>
                <w:bCs/>
                <w:color w:val="FFFFFF" w:themeColor="background1"/>
              </w:rPr>
              <w:t xml:space="preserve">Percent of </w:t>
            </w:r>
            <w:r w:rsidR="009B1903">
              <w:rPr>
                <w:rFonts w:ascii="Calibri" w:hAnsi="Calibri" w:cs="Calibri"/>
                <w:b/>
                <w:bCs/>
                <w:color w:val="FFFFFF" w:themeColor="background1"/>
              </w:rPr>
              <w:t>a</w:t>
            </w:r>
            <w:r w:rsidRPr="00970433">
              <w:rPr>
                <w:rFonts w:ascii="Calibri" w:hAnsi="Calibri" w:cs="Calibri"/>
                <w:b/>
                <w:bCs/>
                <w:color w:val="FFFFFF" w:themeColor="background1"/>
              </w:rPr>
              <w:t>ll</w:t>
            </w:r>
          </w:p>
        </w:tc>
      </w:tr>
      <w:tr w:rsidR="00106E54" w:rsidRPr="00970433" w14:paraId="7A23F688" w14:textId="77777777" w:rsidTr="00BC0E45">
        <w:tc>
          <w:tcPr>
            <w:tcW w:w="4065" w:type="pct"/>
            <w:hideMark/>
          </w:tcPr>
          <w:p w14:paraId="4CE78420" w14:textId="77777777" w:rsidR="00106E54" w:rsidRPr="00970433" w:rsidRDefault="00106E54" w:rsidP="007C36E4">
            <w:pPr>
              <w:rPr>
                <w:rFonts w:ascii="Calibri" w:hAnsi="Calibri" w:cs="Calibri"/>
              </w:rPr>
            </w:pPr>
            <w:r w:rsidRPr="00970433">
              <w:rPr>
                <w:rFonts w:ascii="Calibri" w:hAnsi="Calibri" w:cs="Calibri"/>
              </w:rPr>
              <w:t>Option A1 - Providers continue to assess criminal history for workers in line with aged care legislation, funding agreements and guidance</w:t>
            </w:r>
          </w:p>
        </w:tc>
        <w:tc>
          <w:tcPr>
            <w:tcW w:w="372" w:type="pct"/>
            <w:hideMark/>
          </w:tcPr>
          <w:p w14:paraId="68C4AC7E" w14:textId="77777777" w:rsidR="00106E54" w:rsidRPr="00970433" w:rsidRDefault="00106E54" w:rsidP="007C36E4">
            <w:pPr>
              <w:rPr>
                <w:rFonts w:ascii="Calibri" w:hAnsi="Calibri" w:cs="Calibri"/>
              </w:rPr>
            </w:pPr>
            <w:r>
              <w:rPr>
                <w:rFonts w:ascii="Calibri" w:hAnsi="Calibri" w:cs="Calibri"/>
              </w:rPr>
              <w:t>75</w:t>
            </w:r>
          </w:p>
        </w:tc>
        <w:tc>
          <w:tcPr>
            <w:tcW w:w="562" w:type="pct"/>
            <w:hideMark/>
          </w:tcPr>
          <w:p w14:paraId="5C1A5B0D" w14:textId="77777777" w:rsidR="00106E54" w:rsidRPr="00970433" w:rsidRDefault="00106E54" w:rsidP="007C36E4">
            <w:pPr>
              <w:rPr>
                <w:rFonts w:ascii="Calibri" w:hAnsi="Calibri" w:cs="Calibri"/>
              </w:rPr>
            </w:pPr>
            <w:r>
              <w:rPr>
                <w:rFonts w:ascii="Calibri" w:hAnsi="Calibri" w:cs="Calibri"/>
              </w:rPr>
              <w:t>28.4%</w:t>
            </w:r>
          </w:p>
        </w:tc>
      </w:tr>
      <w:tr w:rsidR="00106E54" w:rsidRPr="00970433" w14:paraId="2DAD2FE2" w14:textId="77777777" w:rsidTr="00BC0E45">
        <w:tc>
          <w:tcPr>
            <w:tcW w:w="4065" w:type="pct"/>
            <w:hideMark/>
          </w:tcPr>
          <w:p w14:paraId="50B5C66D" w14:textId="77777777" w:rsidR="00106E54" w:rsidRPr="00970433" w:rsidRDefault="00106E54" w:rsidP="007C36E4">
            <w:pPr>
              <w:rPr>
                <w:rFonts w:ascii="Calibri" w:hAnsi="Calibri" w:cs="Calibri"/>
              </w:rPr>
            </w:pPr>
            <w:r w:rsidRPr="00970433">
              <w:rPr>
                <w:rFonts w:ascii="Calibri" w:hAnsi="Calibri" w:cs="Calibri"/>
              </w:rPr>
              <w:t>Option A2 - Centralised assessment of criminal history for workers (based on NDIS model)</w:t>
            </w:r>
          </w:p>
        </w:tc>
        <w:tc>
          <w:tcPr>
            <w:tcW w:w="372" w:type="pct"/>
            <w:hideMark/>
          </w:tcPr>
          <w:p w14:paraId="688A29B9" w14:textId="77777777" w:rsidR="00106E54" w:rsidRPr="00970433" w:rsidRDefault="00106E54" w:rsidP="007C36E4">
            <w:pPr>
              <w:rPr>
                <w:rFonts w:ascii="Calibri" w:hAnsi="Calibri" w:cs="Calibri"/>
              </w:rPr>
            </w:pPr>
            <w:r>
              <w:rPr>
                <w:rFonts w:ascii="Calibri" w:hAnsi="Calibri" w:cs="Calibri"/>
              </w:rPr>
              <w:t>146</w:t>
            </w:r>
          </w:p>
        </w:tc>
        <w:tc>
          <w:tcPr>
            <w:tcW w:w="562" w:type="pct"/>
            <w:hideMark/>
          </w:tcPr>
          <w:p w14:paraId="176F8E27" w14:textId="77777777" w:rsidR="00106E54" w:rsidRPr="00970433" w:rsidRDefault="00106E54" w:rsidP="007C36E4">
            <w:pPr>
              <w:rPr>
                <w:rFonts w:ascii="Calibri" w:hAnsi="Calibri" w:cs="Calibri"/>
              </w:rPr>
            </w:pPr>
            <w:r>
              <w:rPr>
                <w:rFonts w:ascii="Calibri" w:hAnsi="Calibri" w:cs="Calibri"/>
              </w:rPr>
              <w:t>55.3%</w:t>
            </w:r>
          </w:p>
        </w:tc>
      </w:tr>
      <w:tr w:rsidR="00106E54" w:rsidRPr="00970433" w14:paraId="7DB60183" w14:textId="77777777" w:rsidTr="00BC0E45">
        <w:tc>
          <w:tcPr>
            <w:tcW w:w="4065" w:type="pct"/>
            <w:hideMark/>
          </w:tcPr>
          <w:p w14:paraId="6812B00A" w14:textId="77777777" w:rsidR="00106E54" w:rsidRPr="00970433" w:rsidRDefault="00106E54" w:rsidP="007C36E4">
            <w:pPr>
              <w:rPr>
                <w:rFonts w:ascii="Calibri" w:hAnsi="Calibri" w:cs="Calibri"/>
              </w:rPr>
            </w:pPr>
            <w:r w:rsidRPr="00970433">
              <w:rPr>
                <w:rFonts w:ascii="Calibri" w:hAnsi="Calibri" w:cs="Calibri"/>
              </w:rPr>
              <w:t>Not Answered</w:t>
            </w:r>
          </w:p>
        </w:tc>
        <w:tc>
          <w:tcPr>
            <w:tcW w:w="372" w:type="pct"/>
            <w:hideMark/>
          </w:tcPr>
          <w:p w14:paraId="2FF85FA7" w14:textId="77777777" w:rsidR="00106E54" w:rsidRPr="00970433" w:rsidRDefault="00106E54" w:rsidP="007C36E4">
            <w:pPr>
              <w:rPr>
                <w:rFonts w:ascii="Calibri" w:hAnsi="Calibri" w:cs="Calibri"/>
              </w:rPr>
            </w:pPr>
            <w:r>
              <w:rPr>
                <w:rFonts w:ascii="Calibri" w:hAnsi="Calibri" w:cs="Calibri"/>
              </w:rPr>
              <w:t>43</w:t>
            </w:r>
          </w:p>
        </w:tc>
        <w:tc>
          <w:tcPr>
            <w:tcW w:w="562" w:type="pct"/>
            <w:hideMark/>
          </w:tcPr>
          <w:p w14:paraId="667A5259" w14:textId="77777777" w:rsidR="00106E54" w:rsidRPr="00970433" w:rsidRDefault="00106E54" w:rsidP="007C36E4">
            <w:pPr>
              <w:rPr>
                <w:rFonts w:ascii="Calibri" w:hAnsi="Calibri" w:cs="Calibri"/>
              </w:rPr>
            </w:pPr>
            <w:r>
              <w:rPr>
                <w:rFonts w:ascii="Calibri" w:hAnsi="Calibri" w:cs="Calibri"/>
              </w:rPr>
              <w:t>16.3%</w:t>
            </w:r>
          </w:p>
        </w:tc>
      </w:tr>
    </w:tbl>
    <w:p w14:paraId="4A64EEFB" w14:textId="77777777" w:rsidR="00106E54" w:rsidRPr="00970433" w:rsidRDefault="00106E54" w:rsidP="007C36E4">
      <w:pPr>
        <w:rPr>
          <w:rFonts w:ascii="Calibri" w:hAnsi="Calibri" w:cs="Calibri"/>
        </w:rPr>
      </w:pPr>
    </w:p>
    <w:p w14:paraId="1D30FEB5" w14:textId="77777777" w:rsidR="00106E54" w:rsidRPr="00970433" w:rsidRDefault="00106E54" w:rsidP="007C36E4">
      <w:pPr>
        <w:rPr>
          <w:rFonts w:ascii="Calibri" w:hAnsi="Calibri" w:cs="Calibri"/>
          <w:b/>
          <w:bCs/>
        </w:rPr>
      </w:pPr>
      <w:r w:rsidRPr="00970433">
        <w:rPr>
          <w:rFonts w:ascii="Calibri" w:hAnsi="Calibri" w:cs="Calibri"/>
          <w:b/>
          <w:bCs/>
        </w:rPr>
        <w:t xml:space="preserve">Table 2 Information relevant to criminal history and risk assessment </w:t>
      </w:r>
    </w:p>
    <w:p w14:paraId="7BA83254" w14:textId="77777777" w:rsidR="00106E54" w:rsidRPr="00970433" w:rsidRDefault="00106E54" w:rsidP="007C36E4">
      <w:pPr>
        <w:rPr>
          <w:rFonts w:ascii="Calibri" w:hAnsi="Calibri" w:cs="Calibri"/>
        </w:rPr>
      </w:pPr>
      <w:r w:rsidRPr="00970433">
        <w:rPr>
          <w:rFonts w:ascii="Calibri" w:hAnsi="Calibri" w:cs="Calibri"/>
        </w:rPr>
        <w:t xml:space="preserve">Stakeholders were asked to select the types of information that they would want routinely taken into account should </w:t>
      </w:r>
      <w:r>
        <w:rPr>
          <w:rFonts w:ascii="Calibri" w:hAnsi="Calibri" w:cs="Calibri"/>
        </w:rPr>
        <w:t xml:space="preserve">there be a centralised assessment of criminal history for workers. </w:t>
      </w:r>
    </w:p>
    <w:p w14:paraId="7E9FB2C7" w14:textId="77777777" w:rsidR="00106E54" w:rsidRPr="00970433" w:rsidRDefault="00106E54" w:rsidP="007C36E4">
      <w:pPr>
        <w:rPr>
          <w:rFonts w:ascii="Calibri" w:hAnsi="Calibri" w:cs="Calibri"/>
        </w:rPr>
      </w:pPr>
    </w:p>
    <w:tbl>
      <w:tblPr>
        <w:tblStyle w:val="TableGrid"/>
        <w:tblW w:w="5000" w:type="pct"/>
        <w:tblLook w:val="04A0" w:firstRow="1" w:lastRow="0" w:firstColumn="1" w:lastColumn="0" w:noHBand="0" w:noVBand="1"/>
        <w:tblDescription w:val="Filtered Results"/>
      </w:tblPr>
      <w:tblGrid>
        <w:gridCol w:w="7891"/>
        <w:gridCol w:w="725"/>
        <w:gridCol w:w="1120"/>
      </w:tblGrid>
      <w:tr w:rsidR="00106E54" w:rsidRPr="00970433" w14:paraId="1B00EC61" w14:textId="77777777" w:rsidTr="00BC0E45">
        <w:tc>
          <w:tcPr>
            <w:tcW w:w="4052" w:type="pct"/>
            <w:shd w:val="clear" w:color="auto" w:fill="516A8E"/>
            <w:hideMark/>
          </w:tcPr>
          <w:p w14:paraId="4F9A7CA5" w14:textId="77777777" w:rsidR="00106E54" w:rsidRPr="00970433" w:rsidRDefault="00106E54" w:rsidP="007C36E4">
            <w:pPr>
              <w:rPr>
                <w:rFonts w:ascii="Calibri" w:hAnsi="Calibri" w:cs="Calibri"/>
                <w:b/>
                <w:bCs/>
                <w:color w:val="FFFFFF" w:themeColor="background1"/>
              </w:rPr>
            </w:pPr>
            <w:r w:rsidRPr="00970433">
              <w:rPr>
                <w:rFonts w:ascii="Calibri" w:hAnsi="Calibri" w:cs="Calibri"/>
                <w:b/>
                <w:bCs/>
                <w:color w:val="FFFFFF" w:themeColor="background1"/>
              </w:rPr>
              <w:t>Option</w:t>
            </w:r>
          </w:p>
        </w:tc>
        <w:tc>
          <w:tcPr>
            <w:tcW w:w="372" w:type="pct"/>
            <w:shd w:val="clear" w:color="auto" w:fill="516A8E"/>
            <w:hideMark/>
          </w:tcPr>
          <w:p w14:paraId="74ACA59F" w14:textId="77777777" w:rsidR="00106E54" w:rsidRPr="00970433" w:rsidRDefault="00106E54" w:rsidP="007C36E4">
            <w:pPr>
              <w:rPr>
                <w:rFonts w:ascii="Calibri" w:hAnsi="Calibri" w:cs="Calibri"/>
                <w:b/>
                <w:bCs/>
                <w:color w:val="FFFFFF" w:themeColor="background1"/>
              </w:rPr>
            </w:pPr>
            <w:r w:rsidRPr="00970433">
              <w:rPr>
                <w:rFonts w:ascii="Calibri" w:hAnsi="Calibri" w:cs="Calibri"/>
                <w:b/>
                <w:bCs/>
                <w:color w:val="FFFFFF" w:themeColor="background1"/>
              </w:rPr>
              <w:t>Total</w:t>
            </w:r>
          </w:p>
        </w:tc>
        <w:tc>
          <w:tcPr>
            <w:tcW w:w="575" w:type="pct"/>
            <w:shd w:val="clear" w:color="auto" w:fill="516A8E"/>
            <w:hideMark/>
          </w:tcPr>
          <w:p w14:paraId="1E5AC33E" w14:textId="713C0DFD" w:rsidR="00106E54" w:rsidRPr="00970433" w:rsidRDefault="00106E54" w:rsidP="007C36E4">
            <w:pPr>
              <w:rPr>
                <w:rFonts w:ascii="Calibri" w:hAnsi="Calibri" w:cs="Calibri"/>
                <w:b/>
                <w:bCs/>
                <w:color w:val="FFFFFF" w:themeColor="background1"/>
              </w:rPr>
            </w:pPr>
            <w:r w:rsidRPr="00970433">
              <w:rPr>
                <w:rFonts w:ascii="Calibri" w:hAnsi="Calibri" w:cs="Calibri"/>
                <w:b/>
                <w:bCs/>
                <w:color w:val="FFFFFF" w:themeColor="background1"/>
              </w:rPr>
              <w:t xml:space="preserve">Percent of </w:t>
            </w:r>
            <w:r w:rsidR="009B1903">
              <w:rPr>
                <w:rFonts w:ascii="Calibri" w:hAnsi="Calibri" w:cs="Calibri"/>
                <w:b/>
                <w:bCs/>
                <w:color w:val="FFFFFF" w:themeColor="background1"/>
              </w:rPr>
              <w:t>a</w:t>
            </w:r>
            <w:r w:rsidRPr="00970433">
              <w:rPr>
                <w:rFonts w:ascii="Calibri" w:hAnsi="Calibri" w:cs="Calibri"/>
                <w:b/>
                <w:bCs/>
                <w:color w:val="FFFFFF" w:themeColor="background1"/>
              </w:rPr>
              <w:t>ll</w:t>
            </w:r>
          </w:p>
        </w:tc>
      </w:tr>
      <w:tr w:rsidR="00106E54" w:rsidRPr="00970433" w14:paraId="35BBAED3" w14:textId="77777777" w:rsidTr="00BC0E45">
        <w:tc>
          <w:tcPr>
            <w:tcW w:w="4052" w:type="pct"/>
            <w:hideMark/>
          </w:tcPr>
          <w:p w14:paraId="0D790A53" w14:textId="77777777" w:rsidR="00106E54" w:rsidRPr="00970433" w:rsidRDefault="00106E54" w:rsidP="007C36E4">
            <w:pPr>
              <w:rPr>
                <w:rFonts w:ascii="Calibri" w:hAnsi="Calibri" w:cs="Calibri"/>
              </w:rPr>
            </w:pPr>
            <w:r w:rsidRPr="00970433">
              <w:rPr>
                <w:rFonts w:ascii="Calibri" w:hAnsi="Calibri" w:cs="Calibri"/>
              </w:rPr>
              <w:t>Option B1 – Information from disciplinary bodies such as health complaints bodies, the NDIS Commission and National Boards</w:t>
            </w:r>
          </w:p>
        </w:tc>
        <w:tc>
          <w:tcPr>
            <w:tcW w:w="372" w:type="pct"/>
            <w:hideMark/>
          </w:tcPr>
          <w:p w14:paraId="778DD7C2" w14:textId="77777777" w:rsidR="00106E54" w:rsidRPr="00970433" w:rsidRDefault="00106E54" w:rsidP="007C36E4">
            <w:pPr>
              <w:rPr>
                <w:rFonts w:ascii="Calibri" w:hAnsi="Calibri" w:cs="Calibri"/>
              </w:rPr>
            </w:pPr>
            <w:r>
              <w:rPr>
                <w:rFonts w:ascii="Calibri" w:hAnsi="Calibri" w:cs="Calibri"/>
              </w:rPr>
              <w:t>197</w:t>
            </w:r>
          </w:p>
        </w:tc>
        <w:tc>
          <w:tcPr>
            <w:tcW w:w="575" w:type="pct"/>
            <w:hideMark/>
          </w:tcPr>
          <w:p w14:paraId="179B23DE" w14:textId="77777777" w:rsidR="00106E54" w:rsidRPr="00970433" w:rsidRDefault="00106E54" w:rsidP="007C36E4">
            <w:pPr>
              <w:rPr>
                <w:rFonts w:ascii="Calibri" w:hAnsi="Calibri" w:cs="Calibri"/>
              </w:rPr>
            </w:pPr>
            <w:r>
              <w:rPr>
                <w:rFonts w:ascii="Calibri" w:hAnsi="Calibri" w:cs="Calibri"/>
              </w:rPr>
              <w:t>74.6%</w:t>
            </w:r>
          </w:p>
        </w:tc>
      </w:tr>
      <w:tr w:rsidR="00106E54" w:rsidRPr="00970433" w14:paraId="5B83AA37" w14:textId="77777777" w:rsidTr="00BC0E45">
        <w:tc>
          <w:tcPr>
            <w:tcW w:w="4052" w:type="pct"/>
            <w:hideMark/>
          </w:tcPr>
          <w:p w14:paraId="7C2EB0D0" w14:textId="77777777" w:rsidR="00106E54" w:rsidRPr="00970433" w:rsidRDefault="00106E54" w:rsidP="007C36E4">
            <w:pPr>
              <w:rPr>
                <w:rFonts w:ascii="Calibri" w:hAnsi="Calibri" w:cs="Calibri"/>
              </w:rPr>
            </w:pPr>
            <w:r w:rsidRPr="00970433">
              <w:rPr>
                <w:rFonts w:ascii="Calibri" w:hAnsi="Calibri" w:cs="Calibri"/>
              </w:rPr>
              <w:t>Option B2 – Information from relevant government agencies</w:t>
            </w:r>
          </w:p>
        </w:tc>
        <w:tc>
          <w:tcPr>
            <w:tcW w:w="372" w:type="pct"/>
            <w:hideMark/>
          </w:tcPr>
          <w:p w14:paraId="26420570" w14:textId="77777777" w:rsidR="00106E54" w:rsidRPr="00970433" w:rsidRDefault="00106E54" w:rsidP="007C36E4">
            <w:pPr>
              <w:rPr>
                <w:rFonts w:ascii="Calibri" w:hAnsi="Calibri" w:cs="Calibri"/>
              </w:rPr>
            </w:pPr>
            <w:r>
              <w:rPr>
                <w:rFonts w:ascii="Calibri" w:hAnsi="Calibri" w:cs="Calibri"/>
              </w:rPr>
              <w:t>145</w:t>
            </w:r>
          </w:p>
        </w:tc>
        <w:tc>
          <w:tcPr>
            <w:tcW w:w="575" w:type="pct"/>
            <w:hideMark/>
          </w:tcPr>
          <w:p w14:paraId="4DD7667D" w14:textId="77777777" w:rsidR="00106E54" w:rsidRPr="00970433" w:rsidRDefault="00106E54" w:rsidP="007C36E4">
            <w:pPr>
              <w:rPr>
                <w:rFonts w:ascii="Calibri" w:hAnsi="Calibri" w:cs="Calibri"/>
              </w:rPr>
            </w:pPr>
            <w:r>
              <w:rPr>
                <w:rFonts w:ascii="Calibri" w:hAnsi="Calibri" w:cs="Calibri"/>
              </w:rPr>
              <w:t>54.9%</w:t>
            </w:r>
          </w:p>
        </w:tc>
      </w:tr>
      <w:tr w:rsidR="00106E54" w:rsidRPr="00970433" w14:paraId="3DE99357" w14:textId="77777777" w:rsidTr="00BC0E45">
        <w:tc>
          <w:tcPr>
            <w:tcW w:w="4052" w:type="pct"/>
            <w:hideMark/>
          </w:tcPr>
          <w:p w14:paraId="6525F3E5" w14:textId="77777777" w:rsidR="00106E54" w:rsidRPr="00970433" w:rsidRDefault="00106E54" w:rsidP="007C36E4">
            <w:pPr>
              <w:rPr>
                <w:rFonts w:ascii="Calibri" w:hAnsi="Calibri" w:cs="Calibri"/>
              </w:rPr>
            </w:pPr>
            <w:r w:rsidRPr="00970433">
              <w:rPr>
                <w:rFonts w:ascii="Calibri" w:hAnsi="Calibri" w:cs="Calibri"/>
              </w:rPr>
              <w:t>Option B3 – Information from courts and tribunals</w:t>
            </w:r>
          </w:p>
        </w:tc>
        <w:tc>
          <w:tcPr>
            <w:tcW w:w="372" w:type="pct"/>
            <w:hideMark/>
          </w:tcPr>
          <w:p w14:paraId="7C0A71F4" w14:textId="77777777" w:rsidR="00106E54" w:rsidRPr="00970433" w:rsidRDefault="00106E54" w:rsidP="007C36E4">
            <w:pPr>
              <w:rPr>
                <w:rFonts w:ascii="Calibri" w:hAnsi="Calibri" w:cs="Calibri"/>
              </w:rPr>
            </w:pPr>
            <w:r>
              <w:rPr>
                <w:rFonts w:ascii="Calibri" w:hAnsi="Calibri" w:cs="Calibri"/>
              </w:rPr>
              <w:t>149</w:t>
            </w:r>
          </w:p>
        </w:tc>
        <w:tc>
          <w:tcPr>
            <w:tcW w:w="575" w:type="pct"/>
            <w:hideMark/>
          </w:tcPr>
          <w:p w14:paraId="37C28EB5" w14:textId="77777777" w:rsidR="00106E54" w:rsidRPr="00970433" w:rsidRDefault="00106E54" w:rsidP="007C36E4">
            <w:pPr>
              <w:rPr>
                <w:rFonts w:ascii="Calibri" w:hAnsi="Calibri" w:cs="Calibri"/>
              </w:rPr>
            </w:pPr>
            <w:r>
              <w:rPr>
                <w:rFonts w:ascii="Calibri" w:hAnsi="Calibri" w:cs="Calibri"/>
              </w:rPr>
              <w:t>56.4%</w:t>
            </w:r>
          </w:p>
        </w:tc>
      </w:tr>
      <w:tr w:rsidR="00106E54" w:rsidRPr="00970433" w14:paraId="6F32C23D" w14:textId="77777777" w:rsidTr="00BC0E45">
        <w:tc>
          <w:tcPr>
            <w:tcW w:w="4052" w:type="pct"/>
            <w:hideMark/>
          </w:tcPr>
          <w:p w14:paraId="44C6456D" w14:textId="77777777" w:rsidR="00106E54" w:rsidRPr="00970433" w:rsidRDefault="00106E54" w:rsidP="007C36E4">
            <w:pPr>
              <w:rPr>
                <w:rFonts w:ascii="Calibri" w:hAnsi="Calibri" w:cs="Calibri"/>
              </w:rPr>
            </w:pPr>
            <w:r w:rsidRPr="00970433">
              <w:rPr>
                <w:rFonts w:ascii="Calibri" w:hAnsi="Calibri" w:cs="Calibri"/>
              </w:rPr>
              <w:t>Option B4 – Information from employers</w:t>
            </w:r>
          </w:p>
        </w:tc>
        <w:tc>
          <w:tcPr>
            <w:tcW w:w="372" w:type="pct"/>
            <w:hideMark/>
          </w:tcPr>
          <w:p w14:paraId="056231C1" w14:textId="77777777" w:rsidR="00106E54" w:rsidRPr="00970433" w:rsidRDefault="00106E54" w:rsidP="007C36E4">
            <w:pPr>
              <w:rPr>
                <w:rFonts w:ascii="Calibri" w:hAnsi="Calibri" w:cs="Calibri"/>
              </w:rPr>
            </w:pPr>
            <w:r>
              <w:rPr>
                <w:rFonts w:ascii="Calibri" w:hAnsi="Calibri" w:cs="Calibri"/>
              </w:rPr>
              <w:t>152</w:t>
            </w:r>
          </w:p>
        </w:tc>
        <w:tc>
          <w:tcPr>
            <w:tcW w:w="575" w:type="pct"/>
            <w:hideMark/>
          </w:tcPr>
          <w:p w14:paraId="231B73B6" w14:textId="77777777" w:rsidR="00106E54" w:rsidRPr="00970433" w:rsidRDefault="00106E54" w:rsidP="007C36E4">
            <w:pPr>
              <w:rPr>
                <w:rFonts w:ascii="Calibri" w:hAnsi="Calibri" w:cs="Calibri"/>
              </w:rPr>
            </w:pPr>
            <w:r>
              <w:rPr>
                <w:rFonts w:ascii="Calibri" w:hAnsi="Calibri" w:cs="Calibri"/>
              </w:rPr>
              <w:t>57.6%</w:t>
            </w:r>
          </w:p>
        </w:tc>
      </w:tr>
      <w:tr w:rsidR="00106E54" w:rsidRPr="00970433" w14:paraId="051334EA" w14:textId="77777777" w:rsidTr="00BC0E45">
        <w:tc>
          <w:tcPr>
            <w:tcW w:w="4052" w:type="pct"/>
            <w:hideMark/>
          </w:tcPr>
          <w:p w14:paraId="0952960D" w14:textId="77777777" w:rsidR="00106E54" w:rsidRPr="00970433" w:rsidRDefault="00106E54" w:rsidP="007C36E4">
            <w:pPr>
              <w:rPr>
                <w:rFonts w:ascii="Calibri" w:hAnsi="Calibri" w:cs="Calibri"/>
              </w:rPr>
            </w:pPr>
            <w:r w:rsidRPr="00970433">
              <w:rPr>
                <w:rFonts w:ascii="Calibri" w:hAnsi="Calibri" w:cs="Calibri"/>
              </w:rPr>
              <w:t>Not Answered</w:t>
            </w:r>
          </w:p>
        </w:tc>
        <w:tc>
          <w:tcPr>
            <w:tcW w:w="372" w:type="pct"/>
            <w:hideMark/>
          </w:tcPr>
          <w:p w14:paraId="405315D0" w14:textId="77777777" w:rsidR="00106E54" w:rsidRPr="00970433" w:rsidRDefault="00106E54" w:rsidP="007C36E4">
            <w:pPr>
              <w:rPr>
                <w:rFonts w:ascii="Calibri" w:hAnsi="Calibri" w:cs="Calibri"/>
              </w:rPr>
            </w:pPr>
            <w:r>
              <w:rPr>
                <w:rFonts w:ascii="Calibri" w:hAnsi="Calibri" w:cs="Calibri"/>
              </w:rPr>
              <w:t>41</w:t>
            </w:r>
          </w:p>
        </w:tc>
        <w:tc>
          <w:tcPr>
            <w:tcW w:w="575" w:type="pct"/>
            <w:hideMark/>
          </w:tcPr>
          <w:p w14:paraId="4E78A307" w14:textId="77777777" w:rsidR="00106E54" w:rsidRPr="00970433" w:rsidRDefault="00106E54" w:rsidP="007C36E4">
            <w:pPr>
              <w:rPr>
                <w:rFonts w:ascii="Calibri" w:hAnsi="Calibri" w:cs="Calibri"/>
              </w:rPr>
            </w:pPr>
            <w:r>
              <w:rPr>
                <w:rFonts w:ascii="Calibri" w:hAnsi="Calibri" w:cs="Calibri"/>
              </w:rPr>
              <w:t>15.3%</w:t>
            </w:r>
          </w:p>
        </w:tc>
      </w:tr>
    </w:tbl>
    <w:p w14:paraId="4CE1A1AA" w14:textId="77777777" w:rsidR="00106E54" w:rsidRPr="00970433" w:rsidRDefault="00106E54" w:rsidP="007C36E4">
      <w:pPr>
        <w:rPr>
          <w:rFonts w:ascii="Calibri" w:hAnsi="Calibri" w:cs="Calibri"/>
          <w:bCs/>
          <w:color w:val="000000" w:themeColor="text1"/>
        </w:rPr>
      </w:pPr>
    </w:p>
    <w:p w14:paraId="0703DA7E" w14:textId="77777777" w:rsidR="00106E54" w:rsidRPr="00970433" w:rsidRDefault="00106E54" w:rsidP="007C36E4">
      <w:pPr>
        <w:pStyle w:val="Caption"/>
        <w:spacing w:before="0" w:after="0"/>
        <w:rPr>
          <w:rFonts w:ascii="Calibri" w:hAnsi="Calibri" w:cs="Calibri"/>
          <w:b w:val="0"/>
          <w:sz w:val="24"/>
          <w:szCs w:val="24"/>
        </w:rPr>
      </w:pPr>
      <w:r w:rsidRPr="00970433">
        <w:rPr>
          <w:rFonts w:ascii="Calibri" w:hAnsi="Calibri" w:cs="Calibri"/>
          <w:sz w:val="24"/>
          <w:szCs w:val="24"/>
        </w:rPr>
        <w:t xml:space="preserve">Table 3 Code of conduct </w:t>
      </w:r>
    </w:p>
    <w:p w14:paraId="39E1BE2F" w14:textId="77777777" w:rsidR="00106E54" w:rsidRPr="00970433" w:rsidRDefault="00106E54" w:rsidP="007C36E4">
      <w:pPr>
        <w:keepNext/>
        <w:rPr>
          <w:rFonts w:ascii="Calibri" w:hAnsi="Calibri" w:cs="Calibri"/>
        </w:rPr>
      </w:pPr>
      <w:r w:rsidRPr="00970433">
        <w:rPr>
          <w:rFonts w:ascii="Calibri" w:hAnsi="Calibri" w:cs="Calibri"/>
        </w:rPr>
        <w:t xml:space="preserve">Stakeholders were asked to select their preferred approach to a code of conduct. </w:t>
      </w:r>
    </w:p>
    <w:p w14:paraId="2449E393" w14:textId="77777777" w:rsidR="00106E54" w:rsidRPr="00970433" w:rsidRDefault="00106E54" w:rsidP="007C36E4">
      <w:pPr>
        <w:keepNext/>
        <w:rPr>
          <w:rFonts w:ascii="Calibri" w:hAnsi="Calibri" w:cs="Calibri"/>
        </w:rPr>
      </w:pPr>
    </w:p>
    <w:tbl>
      <w:tblPr>
        <w:tblStyle w:val="TableGrid"/>
        <w:tblW w:w="5000" w:type="pct"/>
        <w:tblLook w:val="04A0" w:firstRow="1" w:lastRow="0" w:firstColumn="1" w:lastColumn="0" w:noHBand="0" w:noVBand="1"/>
        <w:tblDescription w:val="Filtered Results"/>
      </w:tblPr>
      <w:tblGrid>
        <w:gridCol w:w="7954"/>
        <w:gridCol w:w="725"/>
        <w:gridCol w:w="1057"/>
      </w:tblGrid>
      <w:tr w:rsidR="00106E54" w:rsidRPr="00970433" w14:paraId="36DECB94" w14:textId="77777777" w:rsidTr="00BC0E45">
        <w:tc>
          <w:tcPr>
            <w:tcW w:w="4085" w:type="pct"/>
            <w:shd w:val="clear" w:color="auto" w:fill="516A8E"/>
            <w:hideMark/>
          </w:tcPr>
          <w:p w14:paraId="41AC315B" w14:textId="77777777" w:rsidR="00106E54" w:rsidRPr="00970433" w:rsidRDefault="00106E54" w:rsidP="007C36E4">
            <w:pPr>
              <w:keepNext/>
              <w:rPr>
                <w:rFonts w:ascii="Calibri" w:hAnsi="Calibri" w:cs="Calibri"/>
                <w:b/>
                <w:bCs/>
                <w:color w:val="FFFFFF" w:themeColor="background1"/>
              </w:rPr>
            </w:pPr>
            <w:r w:rsidRPr="00970433">
              <w:rPr>
                <w:rFonts w:ascii="Calibri" w:hAnsi="Calibri" w:cs="Calibri"/>
                <w:b/>
                <w:bCs/>
                <w:color w:val="FFFFFF" w:themeColor="background1"/>
              </w:rPr>
              <w:t>Option</w:t>
            </w:r>
          </w:p>
        </w:tc>
        <w:tc>
          <w:tcPr>
            <w:tcW w:w="372" w:type="pct"/>
            <w:shd w:val="clear" w:color="auto" w:fill="516A8E"/>
            <w:hideMark/>
          </w:tcPr>
          <w:p w14:paraId="05EE3752" w14:textId="77777777" w:rsidR="00106E54" w:rsidRPr="00970433" w:rsidRDefault="00106E54" w:rsidP="007C36E4">
            <w:pPr>
              <w:keepNext/>
              <w:rPr>
                <w:rFonts w:ascii="Calibri" w:hAnsi="Calibri" w:cs="Calibri"/>
                <w:b/>
                <w:bCs/>
                <w:color w:val="FFFFFF" w:themeColor="background1"/>
              </w:rPr>
            </w:pPr>
            <w:r w:rsidRPr="00970433">
              <w:rPr>
                <w:rFonts w:ascii="Calibri" w:hAnsi="Calibri" w:cs="Calibri"/>
                <w:b/>
                <w:bCs/>
                <w:color w:val="FFFFFF" w:themeColor="background1"/>
              </w:rPr>
              <w:t>Total</w:t>
            </w:r>
          </w:p>
        </w:tc>
        <w:tc>
          <w:tcPr>
            <w:tcW w:w="543" w:type="pct"/>
            <w:shd w:val="clear" w:color="auto" w:fill="516A8E"/>
            <w:hideMark/>
          </w:tcPr>
          <w:p w14:paraId="1ECCEE4D" w14:textId="27F19986" w:rsidR="00106E54" w:rsidRPr="00970433" w:rsidRDefault="00106E54" w:rsidP="007C36E4">
            <w:pPr>
              <w:keepNext/>
              <w:rPr>
                <w:rFonts w:ascii="Calibri" w:hAnsi="Calibri" w:cs="Calibri"/>
                <w:b/>
                <w:bCs/>
                <w:color w:val="FFFFFF" w:themeColor="background1"/>
              </w:rPr>
            </w:pPr>
            <w:r w:rsidRPr="00970433">
              <w:rPr>
                <w:rFonts w:ascii="Calibri" w:hAnsi="Calibri" w:cs="Calibri"/>
                <w:b/>
                <w:bCs/>
                <w:color w:val="FFFFFF" w:themeColor="background1"/>
              </w:rPr>
              <w:t xml:space="preserve">Percent of </w:t>
            </w:r>
            <w:r w:rsidR="009B1903">
              <w:rPr>
                <w:rFonts w:ascii="Calibri" w:hAnsi="Calibri" w:cs="Calibri"/>
                <w:b/>
                <w:bCs/>
                <w:color w:val="FFFFFF" w:themeColor="background1"/>
              </w:rPr>
              <w:t>a</w:t>
            </w:r>
            <w:r w:rsidRPr="00970433">
              <w:rPr>
                <w:rFonts w:ascii="Calibri" w:hAnsi="Calibri" w:cs="Calibri"/>
                <w:b/>
                <w:bCs/>
                <w:color w:val="FFFFFF" w:themeColor="background1"/>
              </w:rPr>
              <w:t>ll</w:t>
            </w:r>
          </w:p>
        </w:tc>
      </w:tr>
      <w:tr w:rsidR="00106E54" w:rsidRPr="00970433" w14:paraId="4C86F967" w14:textId="77777777" w:rsidTr="00BC0E45">
        <w:tc>
          <w:tcPr>
            <w:tcW w:w="4085" w:type="pct"/>
            <w:hideMark/>
          </w:tcPr>
          <w:p w14:paraId="1C34AACF" w14:textId="77777777" w:rsidR="00106E54" w:rsidRPr="00970433" w:rsidRDefault="00106E54" w:rsidP="007C36E4">
            <w:pPr>
              <w:keepNext/>
              <w:rPr>
                <w:rFonts w:ascii="Calibri" w:hAnsi="Calibri" w:cs="Calibri"/>
              </w:rPr>
            </w:pPr>
            <w:r w:rsidRPr="00970433">
              <w:rPr>
                <w:rFonts w:ascii="Calibri" w:hAnsi="Calibri" w:cs="Calibri"/>
              </w:rPr>
              <w:t>Option C1 – Retain existing arrangements requiring providers to ensure the conduct of aged care workers is in line with the Aged Care Quality Standards and Charter of Aged Care Rights (status quo)</w:t>
            </w:r>
          </w:p>
        </w:tc>
        <w:tc>
          <w:tcPr>
            <w:tcW w:w="372" w:type="pct"/>
            <w:hideMark/>
          </w:tcPr>
          <w:p w14:paraId="2B8989F6" w14:textId="77777777" w:rsidR="00106E54" w:rsidRPr="00970433" w:rsidRDefault="00106E54" w:rsidP="007C36E4">
            <w:pPr>
              <w:keepNext/>
              <w:rPr>
                <w:rFonts w:ascii="Calibri" w:hAnsi="Calibri" w:cs="Calibri"/>
              </w:rPr>
            </w:pPr>
            <w:r>
              <w:rPr>
                <w:rFonts w:ascii="Calibri" w:hAnsi="Calibri" w:cs="Calibri"/>
              </w:rPr>
              <w:t>71</w:t>
            </w:r>
          </w:p>
        </w:tc>
        <w:tc>
          <w:tcPr>
            <w:tcW w:w="543" w:type="pct"/>
            <w:hideMark/>
          </w:tcPr>
          <w:p w14:paraId="567E7623" w14:textId="77777777" w:rsidR="00106E54" w:rsidRPr="00970433" w:rsidRDefault="00106E54" w:rsidP="007C36E4">
            <w:pPr>
              <w:keepNext/>
              <w:rPr>
                <w:rFonts w:ascii="Calibri" w:hAnsi="Calibri" w:cs="Calibri"/>
              </w:rPr>
            </w:pPr>
            <w:r>
              <w:rPr>
                <w:rFonts w:ascii="Calibri" w:hAnsi="Calibri" w:cs="Calibri"/>
              </w:rPr>
              <w:t>26.9%</w:t>
            </w:r>
          </w:p>
        </w:tc>
      </w:tr>
      <w:tr w:rsidR="00106E54" w:rsidRPr="00970433" w14:paraId="4C599285" w14:textId="77777777" w:rsidTr="00BC0E45">
        <w:tc>
          <w:tcPr>
            <w:tcW w:w="4085" w:type="pct"/>
            <w:hideMark/>
          </w:tcPr>
          <w:p w14:paraId="711AB257" w14:textId="77777777" w:rsidR="00106E54" w:rsidRPr="00970433" w:rsidRDefault="00106E54" w:rsidP="007C36E4">
            <w:pPr>
              <w:keepNext/>
              <w:rPr>
                <w:rFonts w:ascii="Calibri" w:hAnsi="Calibri" w:cs="Calibri"/>
              </w:rPr>
            </w:pPr>
            <w:r w:rsidRPr="00970433">
              <w:rPr>
                <w:rFonts w:ascii="Calibri" w:hAnsi="Calibri" w:cs="Calibri"/>
              </w:rPr>
              <w:t>Option C2 – Adopt the NDIS Code of Conduct for aged care workers</w:t>
            </w:r>
          </w:p>
        </w:tc>
        <w:tc>
          <w:tcPr>
            <w:tcW w:w="372" w:type="pct"/>
            <w:hideMark/>
          </w:tcPr>
          <w:p w14:paraId="2838B037" w14:textId="77777777" w:rsidR="00106E54" w:rsidRPr="00970433" w:rsidRDefault="00106E54" w:rsidP="007C36E4">
            <w:pPr>
              <w:keepNext/>
              <w:rPr>
                <w:rFonts w:ascii="Calibri" w:hAnsi="Calibri" w:cs="Calibri"/>
              </w:rPr>
            </w:pPr>
            <w:r>
              <w:rPr>
                <w:rFonts w:ascii="Calibri" w:hAnsi="Calibri" w:cs="Calibri"/>
              </w:rPr>
              <w:t>42</w:t>
            </w:r>
          </w:p>
        </w:tc>
        <w:tc>
          <w:tcPr>
            <w:tcW w:w="543" w:type="pct"/>
            <w:hideMark/>
          </w:tcPr>
          <w:p w14:paraId="21CCE428" w14:textId="77777777" w:rsidR="00106E54" w:rsidRPr="00970433" w:rsidRDefault="00106E54" w:rsidP="007C36E4">
            <w:pPr>
              <w:keepNext/>
              <w:rPr>
                <w:rFonts w:ascii="Calibri" w:hAnsi="Calibri" w:cs="Calibri"/>
              </w:rPr>
            </w:pPr>
            <w:r>
              <w:rPr>
                <w:rFonts w:ascii="Calibri" w:hAnsi="Calibri" w:cs="Calibri"/>
              </w:rPr>
              <w:t>15.9%</w:t>
            </w:r>
          </w:p>
        </w:tc>
      </w:tr>
      <w:tr w:rsidR="00106E54" w:rsidRPr="00970433" w14:paraId="3E8202F4" w14:textId="77777777" w:rsidTr="00BC0E45">
        <w:tc>
          <w:tcPr>
            <w:tcW w:w="4085" w:type="pct"/>
            <w:hideMark/>
          </w:tcPr>
          <w:p w14:paraId="2356D6CE" w14:textId="77777777" w:rsidR="00106E54" w:rsidRPr="00970433" w:rsidRDefault="00106E54" w:rsidP="007C36E4">
            <w:pPr>
              <w:keepNext/>
              <w:rPr>
                <w:rFonts w:ascii="Calibri" w:hAnsi="Calibri" w:cs="Calibri"/>
              </w:rPr>
            </w:pPr>
            <w:r w:rsidRPr="00970433">
              <w:rPr>
                <w:rFonts w:ascii="Calibri" w:hAnsi="Calibri" w:cs="Calibri"/>
              </w:rPr>
              <w:t>Option C3 – Develop a new code of conduct specific to aged care workers</w:t>
            </w:r>
          </w:p>
        </w:tc>
        <w:tc>
          <w:tcPr>
            <w:tcW w:w="372" w:type="pct"/>
            <w:hideMark/>
          </w:tcPr>
          <w:p w14:paraId="557B522F" w14:textId="77777777" w:rsidR="00106E54" w:rsidRPr="00970433" w:rsidRDefault="00106E54" w:rsidP="007C36E4">
            <w:pPr>
              <w:keepNext/>
              <w:rPr>
                <w:rFonts w:ascii="Calibri" w:hAnsi="Calibri" w:cs="Calibri"/>
              </w:rPr>
            </w:pPr>
            <w:r>
              <w:rPr>
                <w:rFonts w:ascii="Calibri" w:hAnsi="Calibri" w:cs="Calibri"/>
              </w:rPr>
              <w:t>114</w:t>
            </w:r>
          </w:p>
        </w:tc>
        <w:tc>
          <w:tcPr>
            <w:tcW w:w="543" w:type="pct"/>
            <w:hideMark/>
          </w:tcPr>
          <w:p w14:paraId="770CBB80" w14:textId="77777777" w:rsidR="00106E54" w:rsidRPr="00970433" w:rsidRDefault="00106E54" w:rsidP="007C36E4">
            <w:pPr>
              <w:keepNext/>
              <w:rPr>
                <w:rFonts w:ascii="Calibri" w:hAnsi="Calibri" w:cs="Calibri"/>
              </w:rPr>
            </w:pPr>
            <w:r>
              <w:rPr>
                <w:rFonts w:ascii="Calibri" w:hAnsi="Calibri" w:cs="Calibri"/>
              </w:rPr>
              <w:t>43.2%</w:t>
            </w:r>
          </w:p>
        </w:tc>
      </w:tr>
      <w:tr w:rsidR="00106E54" w:rsidRPr="00970433" w14:paraId="3B4E4453" w14:textId="77777777" w:rsidTr="00BC0E45">
        <w:tc>
          <w:tcPr>
            <w:tcW w:w="4085" w:type="pct"/>
            <w:hideMark/>
          </w:tcPr>
          <w:p w14:paraId="1CB82262" w14:textId="77777777" w:rsidR="00106E54" w:rsidRPr="00970433" w:rsidRDefault="00106E54" w:rsidP="007C36E4">
            <w:pPr>
              <w:keepNext/>
              <w:rPr>
                <w:rFonts w:ascii="Calibri" w:hAnsi="Calibri" w:cs="Calibri"/>
              </w:rPr>
            </w:pPr>
            <w:r w:rsidRPr="00970433">
              <w:rPr>
                <w:rFonts w:ascii="Calibri" w:hAnsi="Calibri" w:cs="Calibri"/>
              </w:rPr>
              <w:t>Not Answered</w:t>
            </w:r>
          </w:p>
        </w:tc>
        <w:tc>
          <w:tcPr>
            <w:tcW w:w="372" w:type="pct"/>
            <w:hideMark/>
          </w:tcPr>
          <w:p w14:paraId="5F0BD7FA" w14:textId="77777777" w:rsidR="00106E54" w:rsidRPr="00970433" w:rsidRDefault="00106E54" w:rsidP="007C36E4">
            <w:pPr>
              <w:keepNext/>
              <w:rPr>
                <w:rFonts w:ascii="Calibri" w:hAnsi="Calibri" w:cs="Calibri"/>
              </w:rPr>
            </w:pPr>
            <w:r>
              <w:rPr>
                <w:rFonts w:ascii="Calibri" w:hAnsi="Calibri" w:cs="Calibri"/>
              </w:rPr>
              <w:t>37</w:t>
            </w:r>
          </w:p>
        </w:tc>
        <w:tc>
          <w:tcPr>
            <w:tcW w:w="543" w:type="pct"/>
            <w:hideMark/>
          </w:tcPr>
          <w:p w14:paraId="64696B82" w14:textId="77777777" w:rsidR="00106E54" w:rsidRPr="00970433" w:rsidRDefault="00106E54" w:rsidP="007C36E4">
            <w:pPr>
              <w:keepNext/>
              <w:rPr>
                <w:rFonts w:ascii="Calibri" w:hAnsi="Calibri" w:cs="Calibri"/>
              </w:rPr>
            </w:pPr>
            <w:r>
              <w:rPr>
                <w:rFonts w:ascii="Calibri" w:hAnsi="Calibri" w:cs="Calibri"/>
              </w:rPr>
              <w:t>14.0%</w:t>
            </w:r>
          </w:p>
        </w:tc>
      </w:tr>
    </w:tbl>
    <w:p w14:paraId="44A005C9" w14:textId="77777777" w:rsidR="00106E54" w:rsidRPr="00970433" w:rsidRDefault="00106E54" w:rsidP="007C36E4">
      <w:pPr>
        <w:pStyle w:val="mpcNormal"/>
        <w:keepNext/>
        <w:spacing w:after="0"/>
        <w:rPr>
          <w:rFonts w:ascii="Calibri" w:hAnsi="Calibri" w:cs="Calibri"/>
          <w:b/>
        </w:rPr>
      </w:pPr>
    </w:p>
    <w:p w14:paraId="40B70A95" w14:textId="77777777" w:rsidR="00106E54" w:rsidRDefault="00106E54" w:rsidP="007C36E4">
      <w:pPr>
        <w:pStyle w:val="mpcNormal"/>
        <w:spacing w:after="0"/>
        <w:rPr>
          <w:rFonts w:ascii="Calibri" w:hAnsi="Calibri" w:cs="Calibri"/>
          <w:b/>
        </w:rPr>
      </w:pPr>
    </w:p>
    <w:p w14:paraId="4A0ABD7F" w14:textId="4896152C" w:rsidR="00106E54" w:rsidRPr="00970433" w:rsidRDefault="00106E54" w:rsidP="007C36E4">
      <w:pPr>
        <w:pStyle w:val="mpcNormal"/>
        <w:spacing w:after="0"/>
        <w:rPr>
          <w:rFonts w:ascii="Calibri" w:hAnsi="Calibri" w:cs="Calibri"/>
        </w:rPr>
      </w:pPr>
      <w:r w:rsidRPr="00970433">
        <w:rPr>
          <w:rFonts w:ascii="Calibri" w:hAnsi="Calibri" w:cs="Calibri"/>
          <w:b/>
        </w:rPr>
        <w:lastRenderedPageBreak/>
        <w:t xml:space="preserve">Table 4 English proficiency </w:t>
      </w:r>
    </w:p>
    <w:p w14:paraId="191483EF" w14:textId="77777777" w:rsidR="00106E54" w:rsidRPr="00970433" w:rsidRDefault="00106E54" w:rsidP="007C36E4">
      <w:pPr>
        <w:keepNext/>
        <w:rPr>
          <w:rFonts w:ascii="Calibri" w:hAnsi="Calibri" w:cs="Calibri"/>
        </w:rPr>
      </w:pPr>
      <w:r w:rsidRPr="00970433">
        <w:rPr>
          <w:rFonts w:ascii="Calibri" w:hAnsi="Calibri" w:cs="Calibri"/>
        </w:rPr>
        <w:t xml:space="preserve">Stakeholders were asked to select their preferred approach to strengthening English proficiency in aged care. </w:t>
      </w:r>
    </w:p>
    <w:p w14:paraId="431636A6" w14:textId="77777777" w:rsidR="00106E54" w:rsidRPr="00970433" w:rsidRDefault="00106E54" w:rsidP="007C36E4">
      <w:pPr>
        <w:keepNext/>
        <w:rPr>
          <w:rFonts w:ascii="Calibri" w:hAnsi="Calibri" w:cs="Calibri"/>
        </w:rPr>
      </w:pPr>
    </w:p>
    <w:tbl>
      <w:tblPr>
        <w:tblStyle w:val="TableGrid"/>
        <w:tblW w:w="5000" w:type="pct"/>
        <w:tblLook w:val="04A0" w:firstRow="1" w:lastRow="0" w:firstColumn="1" w:lastColumn="0" w:noHBand="0" w:noVBand="1"/>
        <w:tblDescription w:val="Filtered Results"/>
      </w:tblPr>
      <w:tblGrid>
        <w:gridCol w:w="7981"/>
        <w:gridCol w:w="725"/>
        <w:gridCol w:w="1030"/>
      </w:tblGrid>
      <w:tr w:rsidR="00106E54" w:rsidRPr="00970433" w14:paraId="05CFA553" w14:textId="77777777" w:rsidTr="00BC0E45">
        <w:tc>
          <w:tcPr>
            <w:tcW w:w="4099" w:type="pct"/>
            <w:shd w:val="clear" w:color="auto" w:fill="516A8E"/>
            <w:hideMark/>
          </w:tcPr>
          <w:p w14:paraId="463B5B71" w14:textId="77777777" w:rsidR="00106E54" w:rsidRPr="00970433" w:rsidRDefault="00106E54" w:rsidP="007C36E4">
            <w:pPr>
              <w:rPr>
                <w:rFonts w:ascii="Calibri" w:hAnsi="Calibri" w:cs="Calibri"/>
                <w:b/>
                <w:bCs/>
                <w:color w:val="FFFFFF" w:themeColor="background1"/>
              </w:rPr>
            </w:pPr>
            <w:r w:rsidRPr="00970433">
              <w:rPr>
                <w:rFonts w:ascii="Calibri" w:hAnsi="Calibri" w:cs="Calibri"/>
                <w:b/>
                <w:bCs/>
                <w:color w:val="FFFFFF" w:themeColor="background1"/>
              </w:rPr>
              <w:t>Option</w:t>
            </w:r>
          </w:p>
        </w:tc>
        <w:tc>
          <w:tcPr>
            <w:tcW w:w="372" w:type="pct"/>
            <w:shd w:val="clear" w:color="auto" w:fill="516A8E"/>
            <w:hideMark/>
          </w:tcPr>
          <w:p w14:paraId="6E2FCF6C" w14:textId="77777777" w:rsidR="00106E54" w:rsidRPr="00970433" w:rsidRDefault="00106E54" w:rsidP="007C36E4">
            <w:pPr>
              <w:rPr>
                <w:rFonts w:ascii="Calibri" w:hAnsi="Calibri" w:cs="Calibri"/>
                <w:b/>
                <w:bCs/>
                <w:color w:val="FFFFFF" w:themeColor="background1"/>
              </w:rPr>
            </w:pPr>
            <w:r w:rsidRPr="00970433">
              <w:rPr>
                <w:rFonts w:ascii="Calibri" w:hAnsi="Calibri" w:cs="Calibri"/>
                <w:b/>
                <w:bCs/>
                <w:color w:val="FFFFFF" w:themeColor="background1"/>
              </w:rPr>
              <w:t>Total</w:t>
            </w:r>
          </w:p>
        </w:tc>
        <w:tc>
          <w:tcPr>
            <w:tcW w:w="529" w:type="pct"/>
            <w:shd w:val="clear" w:color="auto" w:fill="516A8E"/>
            <w:hideMark/>
          </w:tcPr>
          <w:p w14:paraId="3B35461D" w14:textId="7A9B71D5" w:rsidR="00106E54" w:rsidRPr="00970433" w:rsidRDefault="00106E54" w:rsidP="007C36E4">
            <w:pPr>
              <w:rPr>
                <w:rFonts w:ascii="Calibri" w:hAnsi="Calibri" w:cs="Calibri"/>
                <w:b/>
                <w:bCs/>
                <w:color w:val="FFFFFF" w:themeColor="background1"/>
              </w:rPr>
            </w:pPr>
            <w:r w:rsidRPr="00970433">
              <w:rPr>
                <w:rFonts w:ascii="Calibri" w:hAnsi="Calibri" w:cs="Calibri"/>
                <w:b/>
                <w:bCs/>
                <w:color w:val="FFFFFF" w:themeColor="background1"/>
              </w:rPr>
              <w:t xml:space="preserve">Percent of </w:t>
            </w:r>
            <w:r w:rsidR="009B1903">
              <w:rPr>
                <w:rFonts w:ascii="Calibri" w:hAnsi="Calibri" w:cs="Calibri"/>
                <w:b/>
                <w:bCs/>
                <w:color w:val="FFFFFF" w:themeColor="background1"/>
              </w:rPr>
              <w:t>a</w:t>
            </w:r>
            <w:r w:rsidRPr="00970433">
              <w:rPr>
                <w:rFonts w:ascii="Calibri" w:hAnsi="Calibri" w:cs="Calibri"/>
                <w:b/>
                <w:bCs/>
                <w:color w:val="FFFFFF" w:themeColor="background1"/>
              </w:rPr>
              <w:t>ll</w:t>
            </w:r>
          </w:p>
        </w:tc>
      </w:tr>
      <w:tr w:rsidR="00106E54" w:rsidRPr="00970433" w14:paraId="59D4636D" w14:textId="77777777" w:rsidTr="00BC0E45">
        <w:tc>
          <w:tcPr>
            <w:tcW w:w="4099" w:type="pct"/>
            <w:hideMark/>
          </w:tcPr>
          <w:p w14:paraId="0A060C04" w14:textId="77777777" w:rsidR="00106E54" w:rsidRPr="00970433" w:rsidRDefault="00106E54" w:rsidP="007C36E4">
            <w:pPr>
              <w:rPr>
                <w:rFonts w:ascii="Calibri" w:hAnsi="Calibri" w:cs="Calibri"/>
              </w:rPr>
            </w:pPr>
            <w:r w:rsidRPr="00970433">
              <w:rPr>
                <w:rFonts w:ascii="Calibri" w:hAnsi="Calibri" w:cs="Calibri"/>
              </w:rPr>
              <w:t>Option D1 – Require providers to be satisfied that PCWs have the necessary English proficiency to effectively perform their role (extension of the status quo with improved guidance as to the expected thresholds for proficiency)</w:t>
            </w:r>
          </w:p>
        </w:tc>
        <w:tc>
          <w:tcPr>
            <w:tcW w:w="372" w:type="pct"/>
            <w:hideMark/>
          </w:tcPr>
          <w:p w14:paraId="2507A509" w14:textId="77777777" w:rsidR="00106E54" w:rsidRPr="00970433" w:rsidRDefault="00106E54" w:rsidP="007C36E4">
            <w:pPr>
              <w:rPr>
                <w:rFonts w:ascii="Calibri" w:hAnsi="Calibri" w:cs="Calibri"/>
              </w:rPr>
            </w:pPr>
            <w:r>
              <w:rPr>
                <w:rFonts w:ascii="Calibri" w:hAnsi="Calibri" w:cs="Calibri"/>
              </w:rPr>
              <w:t>53</w:t>
            </w:r>
          </w:p>
        </w:tc>
        <w:tc>
          <w:tcPr>
            <w:tcW w:w="529" w:type="pct"/>
            <w:hideMark/>
          </w:tcPr>
          <w:p w14:paraId="31530ADC" w14:textId="77777777" w:rsidR="00106E54" w:rsidRPr="00970433" w:rsidRDefault="00106E54" w:rsidP="007C36E4">
            <w:pPr>
              <w:rPr>
                <w:rFonts w:ascii="Calibri" w:hAnsi="Calibri" w:cs="Calibri"/>
              </w:rPr>
            </w:pPr>
            <w:r>
              <w:rPr>
                <w:rFonts w:ascii="Calibri" w:hAnsi="Calibri" w:cs="Calibri"/>
              </w:rPr>
              <w:t>20.1%</w:t>
            </w:r>
          </w:p>
        </w:tc>
      </w:tr>
      <w:tr w:rsidR="00106E54" w:rsidRPr="00970433" w14:paraId="6E42DF9A" w14:textId="77777777" w:rsidTr="00BC0E45">
        <w:tc>
          <w:tcPr>
            <w:tcW w:w="4099" w:type="pct"/>
            <w:hideMark/>
          </w:tcPr>
          <w:p w14:paraId="43F72DB4" w14:textId="77777777" w:rsidR="00106E54" w:rsidRPr="00970433" w:rsidRDefault="00106E54" w:rsidP="007C36E4">
            <w:pPr>
              <w:rPr>
                <w:rFonts w:ascii="Calibri" w:hAnsi="Calibri" w:cs="Calibri"/>
              </w:rPr>
            </w:pPr>
            <w:r w:rsidRPr="00970433">
              <w:rPr>
                <w:rFonts w:ascii="Calibri" w:hAnsi="Calibri" w:cs="Calibri"/>
              </w:rPr>
              <w:t>Option D2 – Establish a requirement for PCWs to demonstrate their proficiency in English as part of a registration process (consistent with the National Scheme)</w:t>
            </w:r>
          </w:p>
        </w:tc>
        <w:tc>
          <w:tcPr>
            <w:tcW w:w="372" w:type="pct"/>
            <w:hideMark/>
          </w:tcPr>
          <w:p w14:paraId="7CA13BD0" w14:textId="77777777" w:rsidR="00106E54" w:rsidRPr="00970433" w:rsidRDefault="00106E54" w:rsidP="007C36E4">
            <w:pPr>
              <w:rPr>
                <w:rFonts w:ascii="Calibri" w:hAnsi="Calibri" w:cs="Calibri"/>
              </w:rPr>
            </w:pPr>
            <w:r>
              <w:rPr>
                <w:rFonts w:ascii="Calibri" w:hAnsi="Calibri" w:cs="Calibri"/>
              </w:rPr>
              <w:t>173</w:t>
            </w:r>
          </w:p>
        </w:tc>
        <w:tc>
          <w:tcPr>
            <w:tcW w:w="529" w:type="pct"/>
            <w:hideMark/>
          </w:tcPr>
          <w:p w14:paraId="50808A34" w14:textId="77777777" w:rsidR="00106E54" w:rsidRPr="00970433" w:rsidRDefault="00106E54" w:rsidP="007C36E4">
            <w:pPr>
              <w:rPr>
                <w:rFonts w:ascii="Calibri" w:hAnsi="Calibri" w:cs="Calibri"/>
              </w:rPr>
            </w:pPr>
            <w:r>
              <w:rPr>
                <w:rFonts w:ascii="Calibri" w:hAnsi="Calibri" w:cs="Calibri"/>
              </w:rPr>
              <w:t>65.5%</w:t>
            </w:r>
          </w:p>
        </w:tc>
      </w:tr>
      <w:tr w:rsidR="00106E54" w:rsidRPr="00970433" w14:paraId="34D1ECA8" w14:textId="77777777" w:rsidTr="00BC0E45">
        <w:tc>
          <w:tcPr>
            <w:tcW w:w="4099" w:type="pct"/>
            <w:hideMark/>
          </w:tcPr>
          <w:p w14:paraId="16891AAC" w14:textId="77777777" w:rsidR="00106E54" w:rsidRPr="00970433" w:rsidRDefault="00106E54" w:rsidP="007C36E4">
            <w:pPr>
              <w:rPr>
                <w:rFonts w:ascii="Calibri" w:hAnsi="Calibri" w:cs="Calibri"/>
              </w:rPr>
            </w:pPr>
            <w:r w:rsidRPr="00970433">
              <w:rPr>
                <w:rFonts w:ascii="Calibri" w:hAnsi="Calibri" w:cs="Calibri"/>
              </w:rPr>
              <w:t>Not Answered</w:t>
            </w:r>
          </w:p>
        </w:tc>
        <w:tc>
          <w:tcPr>
            <w:tcW w:w="372" w:type="pct"/>
            <w:hideMark/>
          </w:tcPr>
          <w:p w14:paraId="24D0F88D" w14:textId="77777777" w:rsidR="00106E54" w:rsidRPr="00970433" w:rsidRDefault="00106E54" w:rsidP="007C36E4">
            <w:pPr>
              <w:rPr>
                <w:rFonts w:ascii="Calibri" w:hAnsi="Calibri" w:cs="Calibri"/>
              </w:rPr>
            </w:pPr>
            <w:r>
              <w:rPr>
                <w:rFonts w:ascii="Calibri" w:hAnsi="Calibri" w:cs="Calibri"/>
              </w:rPr>
              <w:t>38</w:t>
            </w:r>
          </w:p>
        </w:tc>
        <w:tc>
          <w:tcPr>
            <w:tcW w:w="529" w:type="pct"/>
            <w:hideMark/>
          </w:tcPr>
          <w:p w14:paraId="7FDBF84F" w14:textId="77777777" w:rsidR="00106E54" w:rsidRPr="00970433" w:rsidRDefault="00106E54" w:rsidP="007C36E4">
            <w:pPr>
              <w:rPr>
                <w:rFonts w:ascii="Calibri" w:hAnsi="Calibri" w:cs="Calibri"/>
              </w:rPr>
            </w:pPr>
            <w:r>
              <w:rPr>
                <w:rFonts w:ascii="Calibri" w:hAnsi="Calibri" w:cs="Calibri"/>
              </w:rPr>
              <w:t>14.4%</w:t>
            </w:r>
          </w:p>
        </w:tc>
      </w:tr>
    </w:tbl>
    <w:p w14:paraId="7470A98B" w14:textId="77777777" w:rsidR="00106E54" w:rsidRPr="00970433" w:rsidRDefault="00106E54" w:rsidP="007C36E4">
      <w:pPr>
        <w:pStyle w:val="Caption"/>
        <w:spacing w:before="0" w:after="0"/>
        <w:rPr>
          <w:rFonts w:ascii="Calibri" w:hAnsi="Calibri" w:cs="Calibri"/>
          <w:b w:val="0"/>
          <w:sz w:val="24"/>
          <w:szCs w:val="24"/>
        </w:rPr>
      </w:pPr>
    </w:p>
    <w:p w14:paraId="21252266" w14:textId="77777777" w:rsidR="00106E54" w:rsidRPr="00970433" w:rsidRDefault="00106E54" w:rsidP="007C36E4">
      <w:pPr>
        <w:pStyle w:val="Caption"/>
        <w:spacing w:before="0" w:after="0"/>
        <w:rPr>
          <w:rFonts w:ascii="Calibri" w:hAnsi="Calibri" w:cs="Calibri"/>
          <w:b w:val="0"/>
          <w:sz w:val="24"/>
          <w:szCs w:val="24"/>
        </w:rPr>
      </w:pPr>
      <w:r w:rsidRPr="00970433">
        <w:rPr>
          <w:rFonts w:ascii="Calibri" w:hAnsi="Calibri" w:cs="Calibri"/>
          <w:sz w:val="24"/>
          <w:szCs w:val="24"/>
        </w:rPr>
        <w:t xml:space="preserve">Table 5 Minimum qualifications </w:t>
      </w:r>
    </w:p>
    <w:p w14:paraId="28A561EC" w14:textId="77777777" w:rsidR="00106E54" w:rsidRPr="00970433" w:rsidRDefault="00106E54" w:rsidP="007C36E4">
      <w:pPr>
        <w:rPr>
          <w:rFonts w:ascii="Calibri" w:hAnsi="Calibri" w:cs="Calibri"/>
        </w:rPr>
      </w:pPr>
      <w:r w:rsidRPr="00970433">
        <w:rPr>
          <w:rFonts w:ascii="Calibri" w:hAnsi="Calibri" w:cs="Calibri"/>
        </w:rPr>
        <w:t>Stakeholders were asked to select their preferred approach to minimum qualifications.</w:t>
      </w:r>
    </w:p>
    <w:p w14:paraId="6BAA5D6B" w14:textId="77777777" w:rsidR="00106E54" w:rsidRPr="00970433" w:rsidRDefault="00106E54" w:rsidP="007C36E4">
      <w:pPr>
        <w:rPr>
          <w:rFonts w:ascii="Calibri" w:hAnsi="Calibri" w:cs="Calibri"/>
        </w:rPr>
      </w:pPr>
    </w:p>
    <w:tbl>
      <w:tblPr>
        <w:tblStyle w:val="TableGrid"/>
        <w:tblW w:w="5000" w:type="pct"/>
        <w:tblLook w:val="04A0" w:firstRow="1" w:lastRow="0" w:firstColumn="1" w:lastColumn="0" w:noHBand="0" w:noVBand="1"/>
        <w:tblDescription w:val="Filtered Results"/>
      </w:tblPr>
      <w:tblGrid>
        <w:gridCol w:w="7887"/>
        <w:gridCol w:w="725"/>
        <w:gridCol w:w="1124"/>
      </w:tblGrid>
      <w:tr w:rsidR="00106E54" w:rsidRPr="00970433" w14:paraId="2D672BA9" w14:textId="77777777" w:rsidTr="00BC0E45">
        <w:tc>
          <w:tcPr>
            <w:tcW w:w="4050" w:type="pct"/>
            <w:shd w:val="clear" w:color="auto" w:fill="516A8E"/>
            <w:hideMark/>
          </w:tcPr>
          <w:p w14:paraId="01CEC50A" w14:textId="77777777" w:rsidR="00106E54" w:rsidRPr="00970433" w:rsidRDefault="00106E54" w:rsidP="007C36E4">
            <w:pPr>
              <w:rPr>
                <w:rFonts w:ascii="Calibri" w:hAnsi="Calibri" w:cs="Calibri"/>
                <w:b/>
                <w:bCs/>
                <w:color w:val="FFFFFF" w:themeColor="background1"/>
              </w:rPr>
            </w:pPr>
            <w:r w:rsidRPr="00970433">
              <w:rPr>
                <w:rFonts w:ascii="Calibri" w:hAnsi="Calibri" w:cs="Calibri"/>
                <w:b/>
                <w:bCs/>
                <w:color w:val="FFFFFF" w:themeColor="background1"/>
              </w:rPr>
              <w:t>Option</w:t>
            </w:r>
          </w:p>
        </w:tc>
        <w:tc>
          <w:tcPr>
            <w:tcW w:w="372" w:type="pct"/>
            <w:shd w:val="clear" w:color="auto" w:fill="516A8E"/>
            <w:hideMark/>
          </w:tcPr>
          <w:p w14:paraId="7469CB26" w14:textId="77777777" w:rsidR="00106E54" w:rsidRPr="00970433" w:rsidRDefault="00106E54" w:rsidP="007C36E4">
            <w:pPr>
              <w:rPr>
                <w:rFonts w:ascii="Calibri" w:hAnsi="Calibri" w:cs="Calibri"/>
                <w:b/>
                <w:bCs/>
                <w:color w:val="FFFFFF" w:themeColor="background1"/>
              </w:rPr>
            </w:pPr>
            <w:r w:rsidRPr="00970433">
              <w:rPr>
                <w:rFonts w:ascii="Calibri" w:hAnsi="Calibri" w:cs="Calibri"/>
                <w:b/>
                <w:bCs/>
                <w:color w:val="FFFFFF" w:themeColor="background1"/>
              </w:rPr>
              <w:t>Total</w:t>
            </w:r>
          </w:p>
        </w:tc>
        <w:tc>
          <w:tcPr>
            <w:tcW w:w="577" w:type="pct"/>
            <w:shd w:val="clear" w:color="auto" w:fill="516A8E"/>
            <w:hideMark/>
          </w:tcPr>
          <w:p w14:paraId="19A36BB1" w14:textId="77777777" w:rsidR="00106E54" w:rsidRPr="00970433" w:rsidRDefault="00106E54" w:rsidP="007C36E4">
            <w:pPr>
              <w:rPr>
                <w:rFonts w:ascii="Calibri" w:hAnsi="Calibri" w:cs="Calibri"/>
                <w:b/>
                <w:bCs/>
                <w:color w:val="FFFFFF" w:themeColor="background1"/>
              </w:rPr>
            </w:pPr>
            <w:r w:rsidRPr="00970433">
              <w:rPr>
                <w:rFonts w:ascii="Calibri" w:hAnsi="Calibri" w:cs="Calibri"/>
                <w:b/>
                <w:bCs/>
                <w:color w:val="FFFFFF" w:themeColor="background1"/>
              </w:rPr>
              <w:t>Percent of All</w:t>
            </w:r>
          </w:p>
        </w:tc>
      </w:tr>
      <w:tr w:rsidR="00106E54" w:rsidRPr="00970433" w14:paraId="572B9B26" w14:textId="77777777" w:rsidTr="00BC0E45">
        <w:tc>
          <w:tcPr>
            <w:tcW w:w="4050" w:type="pct"/>
            <w:hideMark/>
          </w:tcPr>
          <w:p w14:paraId="6A02BB5F" w14:textId="77777777" w:rsidR="00106E54" w:rsidRPr="00970433" w:rsidRDefault="00106E54" w:rsidP="007C36E4">
            <w:pPr>
              <w:rPr>
                <w:rFonts w:ascii="Calibri" w:hAnsi="Calibri" w:cs="Calibri"/>
              </w:rPr>
            </w:pPr>
            <w:r w:rsidRPr="00970433">
              <w:rPr>
                <w:rFonts w:ascii="Calibri" w:hAnsi="Calibri" w:cs="Calibri"/>
              </w:rPr>
              <w:t>Option E1 – Providers must ensure that PCWs are competent and have the qualifications and knowledge to effectively perform their role (status quo)</w:t>
            </w:r>
          </w:p>
        </w:tc>
        <w:tc>
          <w:tcPr>
            <w:tcW w:w="372" w:type="pct"/>
            <w:hideMark/>
          </w:tcPr>
          <w:p w14:paraId="05DB2892" w14:textId="77777777" w:rsidR="00106E54" w:rsidRPr="00970433" w:rsidRDefault="00106E54" w:rsidP="007C36E4">
            <w:pPr>
              <w:rPr>
                <w:rFonts w:ascii="Calibri" w:hAnsi="Calibri" w:cs="Calibri"/>
              </w:rPr>
            </w:pPr>
            <w:r>
              <w:rPr>
                <w:rFonts w:ascii="Calibri" w:hAnsi="Calibri" w:cs="Calibri"/>
              </w:rPr>
              <w:t>27</w:t>
            </w:r>
          </w:p>
        </w:tc>
        <w:tc>
          <w:tcPr>
            <w:tcW w:w="577" w:type="pct"/>
            <w:hideMark/>
          </w:tcPr>
          <w:p w14:paraId="43B02296" w14:textId="77777777" w:rsidR="00106E54" w:rsidRPr="00970433" w:rsidRDefault="00106E54" w:rsidP="007C36E4">
            <w:pPr>
              <w:rPr>
                <w:rFonts w:ascii="Calibri" w:hAnsi="Calibri" w:cs="Calibri"/>
              </w:rPr>
            </w:pPr>
            <w:r>
              <w:rPr>
                <w:rFonts w:ascii="Calibri" w:hAnsi="Calibri" w:cs="Calibri"/>
              </w:rPr>
              <w:t>10.2%</w:t>
            </w:r>
          </w:p>
        </w:tc>
      </w:tr>
      <w:tr w:rsidR="00106E54" w:rsidRPr="00970433" w14:paraId="2A6A76A2" w14:textId="77777777" w:rsidTr="00BC0E45">
        <w:tc>
          <w:tcPr>
            <w:tcW w:w="4050" w:type="pct"/>
            <w:hideMark/>
          </w:tcPr>
          <w:p w14:paraId="3EEBE5A9" w14:textId="77777777" w:rsidR="00106E54" w:rsidRPr="00970433" w:rsidRDefault="00106E54" w:rsidP="007C36E4">
            <w:pPr>
              <w:rPr>
                <w:rFonts w:ascii="Calibri" w:hAnsi="Calibri" w:cs="Calibri"/>
              </w:rPr>
            </w:pPr>
            <w:r w:rsidRPr="00970433">
              <w:rPr>
                <w:rFonts w:ascii="Calibri" w:hAnsi="Calibri" w:cs="Calibri"/>
              </w:rPr>
              <w:t>Option E2 – Require providers to be satisfied that PCWs have certain minimum qualifications or competencies</w:t>
            </w:r>
          </w:p>
        </w:tc>
        <w:tc>
          <w:tcPr>
            <w:tcW w:w="372" w:type="pct"/>
            <w:hideMark/>
          </w:tcPr>
          <w:p w14:paraId="7AD64A99" w14:textId="77777777" w:rsidR="00106E54" w:rsidRPr="00970433" w:rsidRDefault="00106E54" w:rsidP="007C36E4">
            <w:pPr>
              <w:rPr>
                <w:rFonts w:ascii="Calibri" w:hAnsi="Calibri" w:cs="Calibri"/>
              </w:rPr>
            </w:pPr>
            <w:r>
              <w:rPr>
                <w:rFonts w:ascii="Calibri" w:hAnsi="Calibri" w:cs="Calibri"/>
              </w:rPr>
              <w:t>25</w:t>
            </w:r>
          </w:p>
        </w:tc>
        <w:tc>
          <w:tcPr>
            <w:tcW w:w="577" w:type="pct"/>
            <w:hideMark/>
          </w:tcPr>
          <w:p w14:paraId="09F8D75B" w14:textId="77777777" w:rsidR="00106E54" w:rsidRPr="00970433" w:rsidRDefault="00106E54" w:rsidP="007C36E4">
            <w:pPr>
              <w:rPr>
                <w:rFonts w:ascii="Calibri" w:hAnsi="Calibri" w:cs="Calibri"/>
              </w:rPr>
            </w:pPr>
            <w:r>
              <w:rPr>
                <w:rFonts w:ascii="Calibri" w:hAnsi="Calibri" w:cs="Calibri"/>
              </w:rPr>
              <w:t>9.5%</w:t>
            </w:r>
          </w:p>
        </w:tc>
      </w:tr>
      <w:tr w:rsidR="00106E54" w:rsidRPr="00970433" w14:paraId="254253A4" w14:textId="77777777" w:rsidTr="00BC0E45">
        <w:tc>
          <w:tcPr>
            <w:tcW w:w="4050" w:type="pct"/>
            <w:hideMark/>
          </w:tcPr>
          <w:p w14:paraId="5155DDA5" w14:textId="77777777" w:rsidR="00106E54" w:rsidRPr="00970433" w:rsidRDefault="00106E54" w:rsidP="007C36E4">
            <w:pPr>
              <w:rPr>
                <w:rFonts w:ascii="Calibri" w:hAnsi="Calibri" w:cs="Calibri"/>
              </w:rPr>
            </w:pPr>
            <w:r w:rsidRPr="00970433">
              <w:rPr>
                <w:rFonts w:ascii="Calibri" w:hAnsi="Calibri" w:cs="Calibri"/>
              </w:rPr>
              <w:t>Option E3 – Establish a requirement for PCWs to demonstrate their qualifications as part of a registration process (consistent with the National Scheme)</w:t>
            </w:r>
          </w:p>
        </w:tc>
        <w:tc>
          <w:tcPr>
            <w:tcW w:w="372" w:type="pct"/>
            <w:hideMark/>
          </w:tcPr>
          <w:p w14:paraId="6624F701" w14:textId="77777777" w:rsidR="00106E54" w:rsidRPr="00970433" w:rsidRDefault="00106E54" w:rsidP="007C36E4">
            <w:pPr>
              <w:rPr>
                <w:rFonts w:ascii="Calibri" w:hAnsi="Calibri" w:cs="Calibri"/>
              </w:rPr>
            </w:pPr>
            <w:r>
              <w:rPr>
                <w:rFonts w:ascii="Calibri" w:hAnsi="Calibri" w:cs="Calibri"/>
              </w:rPr>
              <w:t>177</w:t>
            </w:r>
          </w:p>
        </w:tc>
        <w:tc>
          <w:tcPr>
            <w:tcW w:w="577" w:type="pct"/>
            <w:hideMark/>
          </w:tcPr>
          <w:p w14:paraId="3324C911" w14:textId="77777777" w:rsidR="00106E54" w:rsidRPr="00970433" w:rsidRDefault="00106E54" w:rsidP="007C36E4">
            <w:pPr>
              <w:rPr>
                <w:rFonts w:ascii="Calibri" w:hAnsi="Calibri" w:cs="Calibri"/>
              </w:rPr>
            </w:pPr>
            <w:r>
              <w:rPr>
                <w:rFonts w:ascii="Calibri" w:hAnsi="Calibri" w:cs="Calibri"/>
              </w:rPr>
              <w:t>67.0%</w:t>
            </w:r>
          </w:p>
        </w:tc>
      </w:tr>
      <w:tr w:rsidR="00106E54" w:rsidRPr="00970433" w14:paraId="7318ADB4" w14:textId="77777777" w:rsidTr="00BC0E45">
        <w:tc>
          <w:tcPr>
            <w:tcW w:w="4050" w:type="pct"/>
            <w:hideMark/>
          </w:tcPr>
          <w:p w14:paraId="7C8F7279" w14:textId="77777777" w:rsidR="00106E54" w:rsidRPr="00970433" w:rsidRDefault="00106E54" w:rsidP="007C36E4">
            <w:pPr>
              <w:rPr>
                <w:rFonts w:ascii="Calibri" w:hAnsi="Calibri" w:cs="Calibri"/>
              </w:rPr>
            </w:pPr>
            <w:r w:rsidRPr="00970433">
              <w:rPr>
                <w:rFonts w:ascii="Calibri" w:hAnsi="Calibri" w:cs="Calibri"/>
              </w:rPr>
              <w:t>Not Answered</w:t>
            </w:r>
          </w:p>
        </w:tc>
        <w:tc>
          <w:tcPr>
            <w:tcW w:w="372" w:type="pct"/>
            <w:hideMark/>
          </w:tcPr>
          <w:p w14:paraId="26277921" w14:textId="77777777" w:rsidR="00106E54" w:rsidRPr="00970433" w:rsidRDefault="00106E54" w:rsidP="007C36E4">
            <w:pPr>
              <w:rPr>
                <w:rFonts w:ascii="Calibri" w:hAnsi="Calibri" w:cs="Calibri"/>
              </w:rPr>
            </w:pPr>
            <w:r>
              <w:rPr>
                <w:rFonts w:ascii="Calibri" w:hAnsi="Calibri" w:cs="Calibri"/>
              </w:rPr>
              <w:t>35</w:t>
            </w:r>
          </w:p>
        </w:tc>
        <w:tc>
          <w:tcPr>
            <w:tcW w:w="577" w:type="pct"/>
            <w:hideMark/>
          </w:tcPr>
          <w:p w14:paraId="535EB37D" w14:textId="77777777" w:rsidR="00106E54" w:rsidRPr="00970433" w:rsidRDefault="00106E54" w:rsidP="007C36E4">
            <w:pPr>
              <w:rPr>
                <w:rFonts w:ascii="Calibri" w:hAnsi="Calibri" w:cs="Calibri"/>
              </w:rPr>
            </w:pPr>
            <w:r>
              <w:rPr>
                <w:rFonts w:ascii="Calibri" w:hAnsi="Calibri" w:cs="Calibri"/>
              </w:rPr>
              <w:t>13.3%</w:t>
            </w:r>
          </w:p>
        </w:tc>
      </w:tr>
    </w:tbl>
    <w:p w14:paraId="14CCD6CB" w14:textId="77777777" w:rsidR="00106E54" w:rsidRPr="00970433" w:rsidRDefault="00106E54" w:rsidP="007C36E4">
      <w:pPr>
        <w:rPr>
          <w:rFonts w:ascii="Calibri" w:hAnsi="Calibri" w:cs="Calibri"/>
        </w:rPr>
      </w:pPr>
    </w:p>
    <w:p w14:paraId="1158DBBA" w14:textId="77777777" w:rsidR="00106E54" w:rsidRPr="00970433" w:rsidRDefault="00106E54" w:rsidP="007C36E4">
      <w:pPr>
        <w:pStyle w:val="Caption"/>
        <w:spacing w:before="0" w:after="0"/>
        <w:rPr>
          <w:rFonts w:ascii="Calibri" w:hAnsi="Calibri" w:cs="Calibri"/>
          <w:b w:val="0"/>
          <w:sz w:val="24"/>
          <w:szCs w:val="24"/>
        </w:rPr>
      </w:pPr>
      <w:r w:rsidRPr="00970433">
        <w:rPr>
          <w:rFonts w:ascii="Calibri" w:hAnsi="Calibri" w:cs="Calibri"/>
          <w:sz w:val="24"/>
          <w:szCs w:val="24"/>
        </w:rPr>
        <w:t>Table 6 Continuing professional development</w:t>
      </w:r>
    </w:p>
    <w:p w14:paraId="18F227F8" w14:textId="77777777" w:rsidR="00106E54" w:rsidRPr="00970433" w:rsidRDefault="00106E54" w:rsidP="007C36E4">
      <w:pPr>
        <w:keepNext/>
        <w:rPr>
          <w:rFonts w:ascii="Calibri" w:hAnsi="Calibri" w:cs="Calibri"/>
        </w:rPr>
      </w:pPr>
      <w:r w:rsidRPr="00970433">
        <w:rPr>
          <w:rFonts w:ascii="Calibri" w:hAnsi="Calibri" w:cs="Calibri"/>
        </w:rPr>
        <w:t xml:space="preserve">Stakeholders were asked to select their preferred approach to continuing professional development. </w:t>
      </w:r>
    </w:p>
    <w:p w14:paraId="1CF40DD1" w14:textId="77777777" w:rsidR="00106E54" w:rsidRPr="00970433" w:rsidRDefault="00106E54" w:rsidP="007C36E4">
      <w:pPr>
        <w:keepNext/>
        <w:rPr>
          <w:rFonts w:ascii="Calibri" w:hAnsi="Calibri" w:cs="Calibri"/>
          <w:b/>
        </w:rPr>
      </w:pPr>
    </w:p>
    <w:tbl>
      <w:tblPr>
        <w:tblStyle w:val="TableGrid"/>
        <w:tblW w:w="5000" w:type="pct"/>
        <w:tblLook w:val="04A0" w:firstRow="1" w:lastRow="0" w:firstColumn="1" w:lastColumn="0" w:noHBand="0" w:noVBand="1"/>
        <w:tblDescription w:val="Filtered Results"/>
      </w:tblPr>
      <w:tblGrid>
        <w:gridCol w:w="7971"/>
        <w:gridCol w:w="725"/>
        <w:gridCol w:w="1040"/>
      </w:tblGrid>
      <w:tr w:rsidR="00106E54" w:rsidRPr="00970433" w14:paraId="4E3CEFB9" w14:textId="77777777" w:rsidTr="00BC0E45">
        <w:tc>
          <w:tcPr>
            <w:tcW w:w="4094" w:type="pct"/>
            <w:shd w:val="clear" w:color="auto" w:fill="516A8E"/>
            <w:hideMark/>
          </w:tcPr>
          <w:p w14:paraId="59C2D1A8" w14:textId="77777777" w:rsidR="00106E54" w:rsidRPr="00970433" w:rsidRDefault="00106E54" w:rsidP="007C36E4">
            <w:pPr>
              <w:keepNext/>
              <w:rPr>
                <w:rFonts w:ascii="Calibri" w:hAnsi="Calibri" w:cs="Calibri"/>
                <w:b/>
                <w:bCs/>
                <w:color w:val="FFFFFF" w:themeColor="background1"/>
              </w:rPr>
            </w:pPr>
            <w:r w:rsidRPr="00970433">
              <w:rPr>
                <w:rFonts w:ascii="Calibri" w:hAnsi="Calibri" w:cs="Calibri"/>
                <w:b/>
                <w:bCs/>
                <w:color w:val="FFFFFF" w:themeColor="background1"/>
              </w:rPr>
              <w:t>Option</w:t>
            </w:r>
          </w:p>
        </w:tc>
        <w:tc>
          <w:tcPr>
            <w:tcW w:w="372" w:type="pct"/>
            <w:shd w:val="clear" w:color="auto" w:fill="516A8E"/>
            <w:hideMark/>
          </w:tcPr>
          <w:p w14:paraId="21F205DB" w14:textId="77777777" w:rsidR="00106E54" w:rsidRPr="00970433" w:rsidRDefault="00106E54" w:rsidP="007C36E4">
            <w:pPr>
              <w:keepNext/>
              <w:rPr>
                <w:rFonts w:ascii="Calibri" w:hAnsi="Calibri" w:cs="Calibri"/>
                <w:b/>
                <w:bCs/>
                <w:color w:val="FFFFFF" w:themeColor="background1"/>
              </w:rPr>
            </w:pPr>
            <w:r w:rsidRPr="00970433">
              <w:rPr>
                <w:rFonts w:ascii="Calibri" w:hAnsi="Calibri" w:cs="Calibri"/>
                <w:b/>
                <w:bCs/>
                <w:color w:val="FFFFFF" w:themeColor="background1"/>
              </w:rPr>
              <w:t>Total</w:t>
            </w:r>
          </w:p>
        </w:tc>
        <w:tc>
          <w:tcPr>
            <w:tcW w:w="534" w:type="pct"/>
            <w:shd w:val="clear" w:color="auto" w:fill="516A8E"/>
            <w:hideMark/>
          </w:tcPr>
          <w:p w14:paraId="5CD764A5" w14:textId="386AF583" w:rsidR="00106E54" w:rsidRPr="00970433" w:rsidRDefault="00106E54" w:rsidP="007C36E4">
            <w:pPr>
              <w:keepNext/>
              <w:rPr>
                <w:rFonts w:ascii="Calibri" w:hAnsi="Calibri" w:cs="Calibri"/>
                <w:b/>
                <w:bCs/>
                <w:color w:val="FFFFFF" w:themeColor="background1"/>
              </w:rPr>
            </w:pPr>
            <w:r w:rsidRPr="00970433">
              <w:rPr>
                <w:rFonts w:ascii="Calibri" w:hAnsi="Calibri" w:cs="Calibri"/>
                <w:b/>
                <w:bCs/>
                <w:color w:val="FFFFFF" w:themeColor="background1"/>
              </w:rPr>
              <w:t xml:space="preserve">Percent of </w:t>
            </w:r>
            <w:r w:rsidR="009B1903">
              <w:rPr>
                <w:rFonts w:ascii="Calibri" w:hAnsi="Calibri" w:cs="Calibri"/>
                <w:b/>
                <w:bCs/>
                <w:color w:val="FFFFFF" w:themeColor="background1"/>
              </w:rPr>
              <w:t>a</w:t>
            </w:r>
            <w:r w:rsidRPr="00970433">
              <w:rPr>
                <w:rFonts w:ascii="Calibri" w:hAnsi="Calibri" w:cs="Calibri"/>
                <w:b/>
                <w:bCs/>
                <w:color w:val="FFFFFF" w:themeColor="background1"/>
              </w:rPr>
              <w:t>ll</w:t>
            </w:r>
          </w:p>
        </w:tc>
      </w:tr>
      <w:tr w:rsidR="00106E54" w:rsidRPr="00970433" w14:paraId="5CE82E17" w14:textId="77777777" w:rsidTr="00BC0E45">
        <w:tc>
          <w:tcPr>
            <w:tcW w:w="4094" w:type="pct"/>
            <w:hideMark/>
          </w:tcPr>
          <w:p w14:paraId="12C5679F" w14:textId="77777777" w:rsidR="00106E54" w:rsidRPr="00970433" w:rsidRDefault="00106E54" w:rsidP="007C36E4">
            <w:pPr>
              <w:keepNext/>
              <w:rPr>
                <w:rFonts w:ascii="Calibri" w:hAnsi="Calibri" w:cs="Calibri"/>
              </w:rPr>
            </w:pPr>
            <w:r w:rsidRPr="00970433">
              <w:rPr>
                <w:rFonts w:ascii="Calibri" w:hAnsi="Calibri" w:cs="Calibri"/>
              </w:rPr>
              <w:t>Option F1 – Retain existing arrangements whereby providers must ensure that PCWs are recruited, trained, equipped and supported to deliver the outcomes required by the Aged Care Quality Standards (status quo)</w:t>
            </w:r>
          </w:p>
        </w:tc>
        <w:tc>
          <w:tcPr>
            <w:tcW w:w="372" w:type="pct"/>
            <w:hideMark/>
          </w:tcPr>
          <w:p w14:paraId="3A250951" w14:textId="77777777" w:rsidR="00106E54" w:rsidRPr="00970433" w:rsidRDefault="00106E54" w:rsidP="007C36E4">
            <w:pPr>
              <w:keepNext/>
              <w:rPr>
                <w:rFonts w:ascii="Calibri" w:hAnsi="Calibri" w:cs="Calibri"/>
              </w:rPr>
            </w:pPr>
            <w:r>
              <w:rPr>
                <w:rFonts w:ascii="Calibri" w:hAnsi="Calibri" w:cs="Calibri"/>
              </w:rPr>
              <w:t>46</w:t>
            </w:r>
          </w:p>
        </w:tc>
        <w:tc>
          <w:tcPr>
            <w:tcW w:w="534" w:type="pct"/>
            <w:hideMark/>
          </w:tcPr>
          <w:p w14:paraId="39E33800" w14:textId="77777777" w:rsidR="00106E54" w:rsidRPr="00970433" w:rsidRDefault="00106E54" w:rsidP="007C36E4">
            <w:pPr>
              <w:keepNext/>
              <w:rPr>
                <w:rFonts w:ascii="Calibri" w:hAnsi="Calibri" w:cs="Calibri"/>
              </w:rPr>
            </w:pPr>
            <w:r>
              <w:rPr>
                <w:rFonts w:ascii="Calibri" w:hAnsi="Calibri" w:cs="Calibri"/>
              </w:rPr>
              <w:t>17.4%</w:t>
            </w:r>
          </w:p>
        </w:tc>
      </w:tr>
      <w:tr w:rsidR="00106E54" w:rsidRPr="00970433" w14:paraId="68E86FC6" w14:textId="77777777" w:rsidTr="00BC0E45">
        <w:tc>
          <w:tcPr>
            <w:tcW w:w="4094" w:type="pct"/>
            <w:hideMark/>
          </w:tcPr>
          <w:p w14:paraId="523D1D3E" w14:textId="77777777" w:rsidR="00106E54" w:rsidRPr="00970433" w:rsidRDefault="00106E54" w:rsidP="007C36E4">
            <w:pPr>
              <w:keepNext/>
              <w:rPr>
                <w:rFonts w:ascii="Calibri" w:hAnsi="Calibri" w:cs="Calibri"/>
              </w:rPr>
            </w:pPr>
            <w:r w:rsidRPr="00970433">
              <w:rPr>
                <w:rFonts w:ascii="Calibri" w:hAnsi="Calibri" w:cs="Calibri"/>
              </w:rPr>
              <w:t>Option F2 – Require providers to be satisfied that PCWs meet specified minimum CPD requirements</w:t>
            </w:r>
          </w:p>
        </w:tc>
        <w:tc>
          <w:tcPr>
            <w:tcW w:w="372" w:type="pct"/>
            <w:hideMark/>
          </w:tcPr>
          <w:p w14:paraId="0D97BB27" w14:textId="77777777" w:rsidR="00106E54" w:rsidRPr="00970433" w:rsidRDefault="00106E54" w:rsidP="007C36E4">
            <w:pPr>
              <w:keepNext/>
              <w:rPr>
                <w:rFonts w:ascii="Calibri" w:hAnsi="Calibri" w:cs="Calibri"/>
              </w:rPr>
            </w:pPr>
            <w:r>
              <w:rPr>
                <w:rFonts w:ascii="Calibri" w:hAnsi="Calibri" w:cs="Calibri"/>
              </w:rPr>
              <w:t>21</w:t>
            </w:r>
          </w:p>
        </w:tc>
        <w:tc>
          <w:tcPr>
            <w:tcW w:w="534" w:type="pct"/>
            <w:hideMark/>
          </w:tcPr>
          <w:p w14:paraId="10F382AA" w14:textId="77777777" w:rsidR="00106E54" w:rsidRPr="00970433" w:rsidRDefault="00106E54" w:rsidP="007C36E4">
            <w:pPr>
              <w:keepNext/>
              <w:rPr>
                <w:rFonts w:ascii="Calibri" w:hAnsi="Calibri" w:cs="Calibri"/>
              </w:rPr>
            </w:pPr>
            <w:r>
              <w:rPr>
                <w:rFonts w:ascii="Calibri" w:hAnsi="Calibri" w:cs="Calibri"/>
              </w:rPr>
              <w:t>8.0%</w:t>
            </w:r>
          </w:p>
        </w:tc>
      </w:tr>
      <w:tr w:rsidR="00106E54" w:rsidRPr="00970433" w14:paraId="60B9A2BF" w14:textId="77777777" w:rsidTr="00BC0E45">
        <w:trPr>
          <w:trHeight w:val="565"/>
        </w:trPr>
        <w:tc>
          <w:tcPr>
            <w:tcW w:w="4094" w:type="pct"/>
            <w:hideMark/>
          </w:tcPr>
          <w:p w14:paraId="3814EBBA" w14:textId="77777777" w:rsidR="00106E54" w:rsidRPr="00970433" w:rsidRDefault="00106E54" w:rsidP="007C36E4">
            <w:pPr>
              <w:keepNext/>
              <w:rPr>
                <w:rFonts w:ascii="Calibri" w:hAnsi="Calibri" w:cs="Calibri"/>
              </w:rPr>
            </w:pPr>
            <w:r w:rsidRPr="00970433">
              <w:rPr>
                <w:rFonts w:ascii="Calibri" w:hAnsi="Calibri" w:cs="Calibri"/>
              </w:rPr>
              <w:t>Option F3 – Establish a requirement for PCWs to demonstrate they have met specified minimum CPD requirements as part of a registration process (consistent with the National Scheme)</w:t>
            </w:r>
          </w:p>
        </w:tc>
        <w:tc>
          <w:tcPr>
            <w:tcW w:w="372" w:type="pct"/>
            <w:hideMark/>
          </w:tcPr>
          <w:p w14:paraId="15A40E86" w14:textId="77777777" w:rsidR="00106E54" w:rsidRPr="00970433" w:rsidRDefault="00106E54" w:rsidP="007C36E4">
            <w:pPr>
              <w:keepNext/>
              <w:rPr>
                <w:rFonts w:ascii="Calibri" w:hAnsi="Calibri" w:cs="Calibri"/>
              </w:rPr>
            </w:pPr>
            <w:r>
              <w:rPr>
                <w:rFonts w:ascii="Calibri" w:hAnsi="Calibri" w:cs="Calibri"/>
              </w:rPr>
              <w:t>159</w:t>
            </w:r>
          </w:p>
        </w:tc>
        <w:tc>
          <w:tcPr>
            <w:tcW w:w="534" w:type="pct"/>
            <w:hideMark/>
          </w:tcPr>
          <w:p w14:paraId="51CDD6E3" w14:textId="77777777" w:rsidR="00106E54" w:rsidRPr="00970433" w:rsidRDefault="00106E54" w:rsidP="007C36E4">
            <w:pPr>
              <w:keepNext/>
              <w:rPr>
                <w:rFonts w:ascii="Calibri" w:hAnsi="Calibri" w:cs="Calibri"/>
              </w:rPr>
            </w:pPr>
            <w:r>
              <w:rPr>
                <w:rFonts w:ascii="Calibri" w:hAnsi="Calibri" w:cs="Calibri"/>
              </w:rPr>
              <w:t>60.2%</w:t>
            </w:r>
          </w:p>
        </w:tc>
      </w:tr>
      <w:tr w:rsidR="00106E54" w:rsidRPr="00970433" w14:paraId="0088A644" w14:textId="77777777" w:rsidTr="00BC0E45">
        <w:tc>
          <w:tcPr>
            <w:tcW w:w="4094" w:type="pct"/>
            <w:hideMark/>
          </w:tcPr>
          <w:p w14:paraId="4CA562E3" w14:textId="77777777" w:rsidR="00106E54" w:rsidRPr="00970433" w:rsidRDefault="00106E54" w:rsidP="007C36E4">
            <w:pPr>
              <w:keepNext/>
              <w:rPr>
                <w:rFonts w:ascii="Calibri" w:hAnsi="Calibri" w:cs="Calibri"/>
              </w:rPr>
            </w:pPr>
            <w:r w:rsidRPr="00970433">
              <w:rPr>
                <w:rFonts w:ascii="Calibri" w:hAnsi="Calibri" w:cs="Calibri"/>
              </w:rPr>
              <w:t>Not Answered</w:t>
            </w:r>
          </w:p>
        </w:tc>
        <w:tc>
          <w:tcPr>
            <w:tcW w:w="372" w:type="pct"/>
            <w:hideMark/>
          </w:tcPr>
          <w:p w14:paraId="7FCF6EB6" w14:textId="77777777" w:rsidR="00106E54" w:rsidRPr="00970433" w:rsidRDefault="00106E54" w:rsidP="007C36E4">
            <w:pPr>
              <w:keepNext/>
              <w:rPr>
                <w:rFonts w:ascii="Calibri" w:hAnsi="Calibri" w:cs="Calibri"/>
              </w:rPr>
            </w:pPr>
            <w:r>
              <w:rPr>
                <w:rFonts w:ascii="Calibri" w:hAnsi="Calibri" w:cs="Calibri"/>
              </w:rPr>
              <w:t>38</w:t>
            </w:r>
          </w:p>
        </w:tc>
        <w:tc>
          <w:tcPr>
            <w:tcW w:w="534" w:type="pct"/>
            <w:hideMark/>
          </w:tcPr>
          <w:p w14:paraId="53D72A90" w14:textId="77777777" w:rsidR="00106E54" w:rsidRPr="00970433" w:rsidRDefault="00106E54" w:rsidP="007C36E4">
            <w:pPr>
              <w:keepNext/>
              <w:rPr>
                <w:rFonts w:ascii="Calibri" w:hAnsi="Calibri" w:cs="Calibri"/>
              </w:rPr>
            </w:pPr>
            <w:r>
              <w:rPr>
                <w:rFonts w:ascii="Calibri" w:hAnsi="Calibri" w:cs="Calibri"/>
              </w:rPr>
              <w:t>14.4%</w:t>
            </w:r>
          </w:p>
        </w:tc>
      </w:tr>
    </w:tbl>
    <w:p w14:paraId="155F2AEA" w14:textId="77777777" w:rsidR="00106E54" w:rsidRPr="00970433" w:rsidRDefault="00106E54" w:rsidP="007C36E4">
      <w:pPr>
        <w:rPr>
          <w:rFonts w:ascii="Calibri" w:hAnsi="Calibri" w:cs="Calibri"/>
        </w:rPr>
      </w:pPr>
    </w:p>
    <w:p w14:paraId="16A39B92" w14:textId="77777777" w:rsidR="00106E54" w:rsidRDefault="00106E54" w:rsidP="007C36E4">
      <w:pPr>
        <w:pStyle w:val="Caption"/>
        <w:spacing w:before="0" w:after="0"/>
        <w:rPr>
          <w:rFonts w:ascii="Calibri" w:hAnsi="Calibri" w:cs="Calibri"/>
          <w:sz w:val="24"/>
          <w:szCs w:val="24"/>
        </w:rPr>
      </w:pPr>
    </w:p>
    <w:p w14:paraId="7EFE0CED" w14:textId="491DC88D" w:rsidR="00106E54" w:rsidRPr="00970433" w:rsidRDefault="00106E54" w:rsidP="007C36E4">
      <w:pPr>
        <w:pStyle w:val="Caption"/>
        <w:spacing w:before="0" w:after="0"/>
        <w:rPr>
          <w:rFonts w:ascii="Calibri" w:hAnsi="Calibri" w:cs="Calibri"/>
          <w:b w:val="0"/>
          <w:sz w:val="24"/>
          <w:szCs w:val="24"/>
        </w:rPr>
      </w:pPr>
      <w:r w:rsidRPr="00970433">
        <w:rPr>
          <w:rFonts w:ascii="Calibri" w:hAnsi="Calibri" w:cs="Calibri"/>
          <w:sz w:val="24"/>
          <w:szCs w:val="24"/>
        </w:rPr>
        <w:t xml:space="preserve">Table 7 Register of workers  </w:t>
      </w:r>
    </w:p>
    <w:p w14:paraId="7342D518" w14:textId="77777777" w:rsidR="00106E54" w:rsidRPr="00970433" w:rsidRDefault="00106E54" w:rsidP="007C36E4">
      <w:pPr>
        <w:rPr>
          <w:rFonts w:ascii="Calibri" w:hAnsi="Calibri" w:cs="Calibri"/>
        </w:rPr>
      </w:pPr>
      <w:r w:rsidRPr="00970433">
        <w:rPr>
          <w:rFonts w:ascii="Calibri" w:hAnsi="Calibri" w:cs="Calibri"/>
        </w:rPr>
        <w:t xml:space="preserve">Stakeholders were asked to select </w:t>
      </w:r>
      <w:r>
        <w:rPr>
          <w:rFonts w:ascii="Calibri" w:hAnsi="Calibri" w:cs="Calibri"/>
        </w:rPr>
        <w:t>their</w:t>
      </w:r>
      <w:r w:rsidRPr="00970433">
        <w:rPr>
          <w:rFonts w:ascii="Calibri" w:hAnsi="Calibri" w:cs="Calibri"/>
        </w:rPr>
        <w:t xml:space="preserve"> preferred approach to </w:t>
      </w:r>
      <w:r>
        <w:rPr>
          <w:rFonts w:ascii="Calibri" w:hAnsi="Calibri" w:cs="Calibri"/>
        </w:rPr>
        <w:t xml:space="preserve">the </w:t>
      </w:r>
      <w:r w:rsidRPr="00970433">
        <w:rPr>
          <w:rFonts w:ascii="Calibri" w:hAnsi="Calibri" w:cs="Calibri"/>
        </w:rPr>
        <w:t>present</w:t>
      </w:r>
      <w:r>
        <w:rPr>
          <w:rFonts w:ascii="Calibri" w:hAnsi="Calibri" w:cs="Calibri"/>
        </w:rPr>
        <w:t xml:space="preserve">ation of </w:t>
      </w:r>
      <w:r w:rsidRPr="00970433">
        <w:rPr>
          <w:rFonts w:ascii="Calibri" w:hAnsi="Calibri" w:cs="Calibri"/>
        </w:rPr>
        <w:t xml:space="preserve">a register of workers. </w:t>
      </w:r>
    </w:p>
    <w:p w14:paraId="65F5FF04" w14:textId="77777777" w:rsidR="00106E54" w:rsidRPr="00970433" w:rsidRDefault="00106E54" w:rsidP="007C36E4">
      <w:pPr>
        <w:rPr>
          <w:rFonts w:ascii="Calibri" w:hAnsi="Calibri" w:cs="Calibri"/>
        </w:rPr>
      </w:pPr>
    </w:p>
    <w:tbl>
      <w:tblPr>
        <w:tblStyle w:val="TableGrid"/>
        <w:tblW w:w="5000" w:type="pct"/>
        <w:tblLook w:val="04A0" w:firstRow="1" w:lastRow="0" w:firstColumn="1" w:lastColumn="0" w:noHBand="0" w:noVBand="1"/>
        <w:tblDescription w:val="Filtered Results"/>
      </w:tblPr>
      <w:tblGrid>
        <w:gridCol w:w="7858"/>
        <w:gridCol w:w="725"/>
        <w:gridCol w:w="1153"/>
      </w:tblGrid>
      <w:tr w:rsidR="00106E54" w:rsidRPr="00970433" w14:paraId="6F38D1A9" w14:textId="77777777" w:rsidTr="00466125">
        <w:tc>
          <w:tcPr>
            <w:tcW w:w="4049" w:type="pct"/>
            <w:shd w:val="clear" w:color="auto" w:fill="516A8E"/>
            <w:hideMark/>
          </w:tcPr>
          <w:p w14:paraId="29451BB0" w14:textId="77777777" w:rsidR="00106E54" w:rsidRPr="00970433" w:rsidRDefault="00106E54" w:rsidP="007C36E4">
            <w:pPr>
              <w:rPr>
                <w:rFonts w:ascii="Calibri" w:hAnsi="Calibri" w:cs="Calibri"/>
                <w:b/>
                <w:bCs/>
                <w:color w:val="FFFFFF" w:themeColor="background1"/>
              </w:rPr>
            </w:pPr>
            <w:r w:rsidRPr="00970433">
              <w:rPr>
                <w:rFonts w:ascii="Calibri" w:hAnsi="Calibri" w:cs="Calibri"/>
                <w:b/>
                <w:bCs/>
                <w:color w:val="FFFFFF" w:themeColor="background1"/>
              </w:rPr>
              <w:t>Option</w:t>
            </w:r>
          </w:p>
        </w:tc>
        <w:tc>
          <w:tcPr>
            <w:tcW w:w="346" w:type="pct"/>
            <w:shd w:val="clear" w:color="auto" w:fill="516A8E"/>
            <w:hideMark/>
          </w:tcPr>
          <w:p w14:paraId="5B44039B" w14:textId="77777777" w:rsidR="00106E54" w:rsidRPr="00970433" w:rsidRDefault="00106E54" w:rsidP="007C36E4">
            <w:pPr>
              <w:rPr>
                <w:rFonts w:ascii="Calibri" w:hAnsi="Calibri" w:cs="Calibri"/>
                <w:b/>
                <w:bCs/>
                <w:color w:val="FFFFFF" w:themeColor="background1"/>
              </w:rPr>
            </w:pPr>
            <w:r w:rsidRPr="00970433">
              <w:rPr>
                <w:rFonts w:ascii="Calibri" w:hAnsi="Calibri" w:cs="Calibri"/>
                <w:b/>
                <w:bCs/>
                <w:color w:val="FFFFFF" w:themeColor="background1"/>
              </w:rPr>
              <w:t>Total</w:t>
            </w:r>
          </w:p>
        </w:tc>
        <w:tc>
          <w:tcPr>
            <w:tcW w:w="606" w:type="pct"/>
            <w:shd w:val="clear" w:color="auto" w:fill="516A8E"/>
            <w:hideMark/>
          </w:tcPr>
          <w:p w14:paraId="5B4B34E3" w14:textId="7A596340" w:rsidR="00106E54" w:rsidRPr="00970433" w:rsidRDefault="00106E54" w:rsidP="007C36E4">
            <w:pPr>
              <w:rPr>
                <w:rFonts w:ascii="Calibri" w:hAnsi="Calibri" w:cs="Calibri"/>
                <w:b/>
                <w:bCs/>
                <w:color w:val="FFFFFF" w:themeColor="background1"/>
              </w:rPr>
            </w:pPr>
            <w:r w:rsidRPr="00970433">
              <w:rPr>
                <w:rFonts w:ascii="Calibri" w:hAnsi="Calibri" w:cs="Calibri"/>
                <w:b/>
                <w:bCs/>
                <w:color w:val="FFFFFF" w:themeColor="background1"/>
              </w:rPr>
              <w:t xml:space="preserve">Percent of </w:t>
            </w:r>
            <w:r w:rsidR="009B1903">
              <w:rPr>
                <w:rFonts w:ascii="Calibri" w:hAnsi="Calibri" w:cs="Calibri"/>
                <w:b/>
                <w:bCs/>
                <w:color w:val="FFFFFF" w:themeColor="background1"/>
              </w:rPr>
              <w:t>a</w:t>
            </w:r>
            <w:r w:rsidRPr="00970433">
              <w:rPr>
                <w:rFonts w:ascii="Calibri" w:hAnsi="Calibri" w:cs="Calibri"/>
                <w:b/>
                <w:bCs/>
                <w:color w:val="FFFFFF" w:themeColor="background1"/>
              </w:rPr>
              <w:t>ll</w:t>
            </w:r>
          </w:p>
        </w:tc>
      </w:tr>
      <w:tr w:rsidR="00106E54" w:rsidRPr="00970433" w14:paraId="41AE12C8" w14:textId="77777777" w:rsidTr="00466125">
        <w:tc>
          <w:tcPr>
            <w:tcW w:w="4049" w:type="pct"/>
            <w:hideMark/>
          </w:tcPr>
          <w:p w14:paraId="71D0417E" w14:textId="77777777" w:rsidR="00106E54" w:rsidRPr="00970433" w:rsidRDefault="00106E54" w:rsidP="007C36E4">
            <w:pPr>
              <w:rPr>
                <w:rFonts w:ascii="Calibri" w:hAnsi="Calibri" w:cs="Calibri"/>
              </w:rPr>
            </w:pPr>
            <w:r w:rsidRPr="00970433">
              <w:rPr>
                <w:rFonts w:ascii="Calibri" w:hAnsi="Calibri" w:cs="Calibri"/>
              </w:rPr>
              <w:t>Option G1 – A list of workers who have been cleared to work in aged care (positive list)</w:t>
            </w:r>
          </w:p>
        </w:tc>
        <w:tc>
          <w:tcPr>
            <w:tcW w:w="346" w:type="pct"/>
            <w:hideMark/>
          </w:tcPr>
          <w:p w14:paraId="5D6D7DC7" w14:textId="77777777" w:rsidR="00106E54" w:rsidRPr="00970433" w:rsidRDefault="00106E54" w:rsidP="007C36E4">
            <w:pPr>
              <w:rPr>
                <w:rFonts w:ascii="Calibri" w:hAnsi="Calibri" w:cs="Calibri"/>
              </w:rPr>
            </w:pPr>
            <w:r>
              <w:rPr>
                <w:rFonts w:ascii="Calibri" w:hAnsi="Calibri" w:cs="Calibri"/>
              </w:rPr>
              <w:t>46</w:t>
            </w:r>
          </w:p>
        </w:tc>
        <w:tc>
          <w:tcPr>
            <w:tcW w:w="606" w:type="pct"/>
            <w:hideMark/>
          </w:tcPr>
          <w:p w14:paraId="4C7F10A3" w14:textId="77777777" w:rsidR="00106E54" w:rsidRPr="00970433" w:rsidRDefault="00106E54" w:rsidP="007C36E4">
            <w:pPr>
              <w:rPr>
                <w:rFonts w:ascii="Calibri" w:hAnsi="Calibri" w:cs="Calibri"/>
              </w:rPr>
            </w:pPr>
            <w:r>
              <w:rPr>
                <w:rFonts w:ascii="Calibri" w:hAnsi="Calibri" w:cs="Calibri"/>
              </w:rPr>
              <w:t>17.4%</w:t>
            </w:r>
          </w:p>
        </w:tc>
      </w:tr>
      <w:tr w:rsidR="00106E54" w:rsidRPr="00970433" w14:paraId="09ABCF19" w14:textId="77777777" w:rsidTr="00466125">
        <w:tc>
          <w:tcPr>
            <w:tcW w:w="4049" w:type="pct"/>
            <w:hideMark/>
          </w:tcPr>
          <w:p w14:paraId="4E136D21" w14:textId="77777777" w:rsidR="00106E54" w:rsidRPr="00970433" w:rsidRDefault="00106E54" w:rsidP="007C36E4">
            <w:pPr>
              <w:rPr>
                <w:rFonts w:ascii="Calibri" w:hAnsi="Calibri" w:cs="Calibri"/>
              </w:rPr>
            </w:pPr>
            <w:r w:rsidRPr="00970433">
              <w:rPr>
                <w:rFonts w:ascii="Calibri" w:hAnsi="Calibri" w:cs="Calibri"/>
              </w:rPr>
              <w:t>Option G2 – A list of workers who have been excluded from working in aged care (negative list)</w:t>
            </w:r>
          </w:p>
        </w:tc>
        <w:tc>
          <w:tcPr>
            <w:tcW w:w="346" w:type="pct"/>
            <w:hideMark/>
          </w:tcPr>
          <w:p w14:paraId="5A4E6919" w14:textId="77777777" w:rsidR="00106E54" w:rsidRPr="00970433" w:rsidRDefault="00106E54" w:rsidP="007C36E4">
            <w:pPr>
              <w:rPr>
                <w:rFonts w:ascii="Calibri" w:hAnsi="Calibri" w:cs="Calibri"/>
              </w:rPr>
            </w:pPr>
            <w:r>
              <w:rPr>
                <w:rFonts w:ascii="Calibri" w:hAnsi="Calibri" w:cs="Calibri"/>
              </w:rPr>
              <w:t>10</w:t>
            </w:r>
          </w:p>
        </w:tc>
        <w:tc>
          <w:tcPr>
            <w:tcW w:w="606" w:type="pct"/>
            <w:hideMark/>
          </w:tcPr>
          <w:p w14:paraId="0D22C352" w14:textId="77777777" w:rsidR="00106E54" w:rsidRPr="00970433" w:rsidRDefault="00106E54" w:rsidP="007C36E4">
            <w:pPr>
              <w:rPr>
                <w:rFonts w:ascii="Calibri" w:hAnsi="Calibri" w:cs="Calibri"/>
              </w:rPr>
            </w:pPr>
            <w:r>
              <w:rPr>
                <w:rFonts w:ascii="Calibri" w:hAnsi="Calibri" w:cs="Calibri"/>
              </w:rPr>
              <w:t>3.8%</w:t>
            </w:r>
          </w:p>
        </w:tc>
      </w:tr>
      <w:tr w:rsidR="00106E54" w:rsidRPr="00970433" w14:paraId="6929E9C0" w14:textId="77777777" w:rsidTr="00466125">
        <w:tc>
          <w:tcPr>
            <w:tcW w:w="4049" w:type="pct"/>
            <w:hideMark/>
          </w:tcPr>
          <w:p w14:paraId="1F34AF4D" w14:textId="77777777" w:rsidR="00106E54" w:rsidRPr="00970433" w:rsidRDefault="00106E54" w:rsidP="007C36E4">
            <w:pPr>
              <w:rPr>
                <w:rFonts w:ascii="Calibri" w:hAnsi="Calibri" w:cs="Calibri"/>
              </w:rPr>
            </w:pPr>
            <w:r w:rsidRPr="00970433">
              <w:rPr>
                <w:rFonts w:ascii="Calibri" w:hAnsi="Calibri" w:cs="Calibri"/>
              </w:rPr>
              <w:t>Option G3 – A list of workers who have been cleared to work in aged care and a list of workers who are excluded from working in aged care</w:t>
            </w:r>
          </w:p>
        </w:tc>
        <w:tc>
          <w:tcPr>
            <w:tcW w:w="346" w:type="pct"/>
            <w:hideMark/>
          </w:tcPr>
          <w:p w14:paraId="4335DFCF" w14:textId="77777777" w:rsidR="00106E54" w:rsidRPr="00970433" w:rsidRDefault="00106E54" w:rsidP="007C36E4">
            <w:pPr>
              <w:rPr>
                <w:rFonts w:ascii="Calibri" w:hAnsi="Calibri" w:cs="Calibri"/>
              </w:rPr>
            </w:pPr>
            <w:r>
              <w:rPr>
                <w:rFonts w:ascii="Calibri" w:hAnsi="Calibri" w:cs="Calibri"/>
              </w:rPr>
              <w:t>167</w:t>
            </w:r>
          </w:p>
        </w:tc>
        <w:tc>
          <w:tcPr>
            <w:tcW w:w="606" w:type="pct"/>
            <w:hideMark/>
          </w:tcPr>
          <w:p w14:paraId="04D7E2F1" w14:textId="77777777" w:rsidR="00106E54" w:rsidRPr="00970433" w:rsidRDefault="00106E54" w:rsidP="007C36E4">
            <w:pPr>
              <w:rPr>
                <w:rFonts w:ascii="Calibri" w:hAnsi="Calibri" w:cs="Calibri"/>
              </w:rPr>
            </w:pPr>
            <w:r>
              <w:rPr>
                <w:rFonts w:ascii="Calibri" w:hAnsi="Calibri" w:cs="Calibri"/>
              </w:rPr>
              <w:t>63.3%</w:t>
            </w:r>
          </w:p>
        </w:tc>
      </w:tr>
      <w:tr w:rsidR="00106E54" w:rsidRPr="00970433" w14:paraId="74CEB323" w14:textId="77777777" w:rsidTr="00466125">
        <w:tc>
          <w:tcPr>
            <w:tcW w:w="4049" w:type="pct"/>
            <w:hideMark/>
          </w:tcPr>
          <w:p w14:paraId="07F95F6B" w14:textId="77777777" w:rsidR="00106E54" w:rsidRPr="00970433" w:rsidRDefault="00106E54" w:rsidP="007C36E4">
            <w:pPr>
              <w:rPr>
                <w:rFonts w:ascii="Calibri" w:hAnsi="Calibri" w:cs="Calibri"/>
              </w:rPr>
            </w:pPr>
            <w:r w:rsidRPr="00970433">
              <w:rPr>
                <w:rFonts w:ascii="Calibri" w:hAnsi="Calibri" w:cs="Calibri"/>
              </w:rPr>
              <w:t>Not Answered</w:t>
            </w:r>
          </w:p>
        </w:tc>
        <w:tc>
          <w:tcPr>
            <w:tcW w:w="346" w:type="pct"/>
            <w:hideMark/>
          </w:tcPr>
          <w:p w14:paraId="04CE383C" w14:textId="77777777" w:rsidR="00106E54" w:rsidRPr="00970433" w:rsidRDefault="00106E54" w:rsidP="007C36E4">
            <w:pPr>
              <w:rPr>
                <w:rFonts w:ascii="Calibri" w:hAnsi="Calibri" w:cs="Calibri"/>
              </w:rPr>
            </w:pPr>
            <w:r>
              <w:rPr>
                <w:rFonts w:ascii="Calibri" w:hAnsi="Calibri" w:cs="Calibri"/>
              </w:rPr>
              <w:t>41</w:t>
            </w:r>
          </w:p>
        </w:tc>
        <w:tc>
          <w:tcPr>
            <w:tcW w:w="606" w:type="pct"/>
            <w:hideMark/>
          </w:tcPr>
          <w:p w14:paraId="764FF749" w14:textId="77777777" w:rsidR="00106E54" w:rsidRPr="00970433" w:rsidRDefault="00106E54" w:rsidP="007C36E4">
            <w:pPr>
              <w:rPr>
                <w:rFonts w:ascii="Calibri" w:hAnsi="Calibri" w:cs="Calibri"/>
              </w:rPr>
            </w:pPr>
            <w:r>
              <w:rPr>
                <w:rFonts w:ascii="Calibri" w:hAnsi="Calibri" w:cs="Calibri"/>
              </w:rPr>
              <w:t>15.5%</w:t>
            </w:r>
          </w:p>
        </w:tc>
      </w:tr>
    </w:tbl>
    <w:p w14:paraId="38BB3D3A" w14:textId="77777777" w:rsidR="00106E54" w:rsidRPr="00970433" w:rsidRDefault="00106E54" w:rsidP="007C36E4">
      <w:pPr>
        <w:rPr>
          <w:rFonts w:ascii="Calibri" w:hAnsi="Calibri" w:cs="Calibri"/>
        </w:rPr>
      </w:pPr>
    </w:p>
    <w:p w14:paraId="0228A920" w14:textId="77777777" w:rsidR="00106E54" w:rsidRPr="00970433" w:rsidRDefault="00106E54" w:rsidP="007C36E4">
      <w:pPr>
        <w:pStyle w:val="Caption"/>
        <w:spacing w:before="0" w:after="0"/>
        <w:rPr>
          <w:rFonts w:ascii="Calibri" w:hAnsi="Calibri" w:cs="Calibri"/>
          <w:b w:val="0"/>
          <w:sz w:val="24"/>
          <w:szCs w:val="24"/>
        </w:rPr>
      </w:pPr>
      <w:r w:rsidRPr="00970433">
        <w:rPr>
          <w:rFonts w:ascii="Calibri" w:hAnsi="Calibri" w:cs="Calibri"/>
          <w:sz w:val="24"/>
          <w:szCs w:val="24"/>
        </w:rPr>
        <w:t xml:space="preserve">Table 8 Automatic clearance if cleared to work in disability sector </w:t>
      </w:r>
    </w:p>
    <w:p w14:paraId="6CECD5F0" w14:textId="77777777" w:rsidR="00106E54" w:rsidRPr="00970433" w:rsidRDefault="00106E54" w:rsidP="007C36E4">
      <w:pPr>
        <w:rPr>
          <w:rFonts w:ascii="Calibri" w:hAnsi="Calibri" w:cs="Calibri"/>
        </w:rPr>
      </w:pPr>
      <w:r w:rsidRPr="00970433">
        <w:rPr>
          <w:rFonts w:ascii="Calibri" w:hAnsi="Calibri" w:cs="Calibri"/>
        </w:rPr>
        <w:t>Stakeholders were asked whether a person cleared to work with people with a disability should be automatically cleared to work in aged care.</w:t>
      </w:r>
    </w:p>
    <w:p w14:paraId="54D84390" w14:textId="77777777" w:rsidR="00106E54" w:rsidRPr="00970433" w:rsidRDefault="00106E54" w:rsidP="007C36E4">
      <w:pPr>
        <w:rPr>
          <w:rFonts w:ascii="Calibri" w:hAnsi="Calibri" w:cs="Calibri"/>
        </w:rPr>
      </w:pPr>
    </w:p>
    <w:tbl>
      <w:tblPr>
        <w:tblStyle w:val="TableGrid"/>
        <w:tblW w:w="5000" w:type="pct"/>
        <w:tblLook w:val="04A0" w:firstRow="1" w:lastRow="0" w:firstColumn="1" w:lastColumn="0" w:noHBand="0" w:noVBand="1"/>
        <w:tblDescription w:val="Filtered Results"/>
      </w:tblPr>
      <w:tblGrid>
        <w:gridCol w:w="7793"/>
        <w:gridCol w:w="851"/>
        <w:gridCol w:w="1092"/>
      </w:tblGrid>
      <w:tr w:rsidR="00106E54" w:rsidRPr="00970433" w14:paraId="50DF0202" w14:textId="77777777" w:rsidTr="00547014">
        <w:tc>
          <w:tcPr>
            <w:tcW w:w="4002" w:type="pct"/>
            <w:shd w:val="clear" w:color="auto" w:fill="516A8E"/>
            <w:hideMark/>
          </w:tcPr>
          <w:p w14:paraId="07A4C0F6" w14:textId="77777777" w:rsidR="00106E54" w:rsidRPr="00970433" w:rsidRDefault="00106E54" w:rsidP="007C36E4">
            <w:pPr>
              <w:rPr>
                <w:rFonts w:ascii="Calibri" w:hAnsi="Calibri" w:cs="Calibri"/>
                <w:b/>
                <w:bCs/>
                <w:color w:val="FFFFFF" w:themeColor="background1"/>
              </w:rPr>
            </w:pPr>
            <w:r w:rsidRPr="00970433">
              <w:rPr>
                <w:rFonts w:ascii="Calibri" w:hAnsi="Calibri" w:cs="Calibri"/>
                <w:b/>
                <w:bCs/>
                <w:color w:val="FFFFFF" w:themeColor="background1"/>
              </w:rPr>
              <w:t>Option</w:t>
            </w:r>
          </w:p>
        </w:tc>
        <w:tc>
          <w:tcPr>
            <w:tcW w:w="437" w:type="pct"/>
            <w:shd w:val="clear" w:color="auto" w:fill="516A8E"/>
            <w:hideMark/>
          </w:tcPr>
          <w:p w14:paraId="568B4215" w14:textId="77777777" w:rsidR="00106E54" w:rsidRPr="00970433" w:rsidRDefault="00106E54" w:rsidP="007C36E4">
            <w:pPr>
              <w:rPr>
                <w:rFonts w:ascii="Calibri" w:hAnsi="Calibri" w:cs="Calibri"/>
                <w:b/>
                <w:bCs/>
                <w:color w:val="FFFFFF" w:themeColor="background1"/>
              </w:rPr>
            </w:pPr>
            <w:r w:rsidRPr="00970433">
              <w:rPr>
                <w:rFonts w:ascii="Calibri" w:hAnsi="Calibri" w:cs="Calibri"/>
                <w:b/>
                <w:bCs/>
                <w:color w:val="FFFFFF" w:themeColor="background1"/>
              </w:rPr>
              <w:t>Total</w:t>
            </w:r>
          </w:p>
        </w:tc>
        <w:tc>
          <w:tcPr>
            <w:tcW w:w="561" w:type="pct"/>
            <w:shd w:val="clear" w:color="auto" w:fill="516A8E"/>
            <w:hideMark/>
          </w:tcPr>
          <w:p w14:paraId="3772F99E" w14:textId="3D18B77C" w:rsidR="00106E54" w:rsidRPr="00970433" w:rsidRDefault="00106E54" w:rsidP="007C36E4">
            <w:pPr>
              <w:rPr>
                <w:rFonts w:ascii="Calibri" w:hAnsi="Calibri" w:cs="Calibri"/>
                <w:b/>
                <w:bCs/>
                <w:color w:val="FFFFFF" w:themeColor="background1"/>
              </w:rPr>
            </w:pPr>
            <w:r w:rsidRPr="00970433">
              <w:rPr>
                <w:rFonts w:ascii="Calibri" w:hAnsi="Calibri" w:cs="Calibri"/>
                <w:b/>
                <w:bCs/>
                <w:color w:val="FFFFFF" w:themeColor="background1"/>
              </w:rPr>
              <w:t xml:space="preserve">Percent of </w:t>
            </w:r>
            <w:r w:rsidR="009B1903">
              <w:rPr>
                <w:rFonts w:ascii="Calibri" w:hAnsi="Calibri" w:cs="Calibri"/>
                <w:b/>
                <w:bCs/>
                <w:color w:val="FFFFFF" w:themeColor="background1"/>
              </w:rPr>
              <w:t>a</w:t>
            </w:r>
            <w:r w:rsidRPr="00970433">
              <w:rPr>
                <w:rFonts w:ascii="Calibri" w:hAnsi="Calibri" w:cs="Calibri"/>
                <w:b/>
                <w:bCs/>
                <w:color w:val="FFFFFF" w:themeColor="background1"/>
              </w:rPr>
              <w:t>ll</w:t>
            </w:r>
          </w:p>
        </w:tc>
      </w:tr>
      <w:tr w:rsidR="00106E54" w:rsidRPr="00970433" w14:paraId="3A5D8EEA" w14:textId="77777777" w:rsidTr="00547014">
        <w:tc>
          <w:tcPr>
            <w:tcW w:w="4002" w:type="pct"/>
            <w:hideMark/>
          </w:tcPr>
          <w:p w14:paraId="165CD7E0" w14:textId="77777777" w:rsidR="00106E54" w:rsidRPr="00970433" w:rsidRDefault="00106E54" w:rsidP="007C36E4">
            <w:pPr>
              <w:rPr>
                <w:rFonts w:ascii="Calibri" w:hAnsi="Calibri" w:cs="Calibri"/>
              </w:rPr>
            </w:pPr>
            <w:r w:rsidRPr="00970433">
              <w:rPr>
                <w:rFonts w:ascii="Calibri" w:hAnsi="Calibri" w:cs="Calibri"/>
              </w:rPr>
              <w:t>Yes</w:t>
            </w:r>
          </w:p>
        </w:tc>
        <w:tc>
          <w:tcPr>
            <w:tcW w:w="437" w:type="pct"/>
            <w:hideMark/>
          </w:tcPr>
          <w:p w14:paraId="02D27B5A" w14:textId="77777777" w:rsidR="00106E54" w:rsidRPr="00970433" w:rsidRDefault="00106E54" w:rsidP="007C36E4">
            <w:pPr>
              <w:rPr>
                <w:rFonts w:ascii="Calibri" w:hAnsi="Calibri" w:cs="Calibri"/>
              </w:rPr>
            </w:pPr>
            <w:r>
              <w:rPr>
                <w:rFonts w:ascii="Calibri" w:hAnsi="Calibri" w:cs="Calibri"/>
              </w:rPr>
              <w:t>121</w:t>
            </w:r>
          </w:p>
        </w:tc>
        <w:tc>
          <w:tcPr>
            <w:tcW w:w="561" w:type="pct"/>
            <w:hideMark/>
          </w:tcPr>
          <w:p w14:paraId="5FD2F067" w14:textId="77777777" w:rsidR="00106E54" w:rsidRPr="00970433" w:rsidRDefault="00106E54" w:rsidP="007C36E4">
            <w:pPr>
              <w:rPr>
                <w:rFonts w:ascii="Calibri" w:hAnsi="Calibri" w:cs="Calibri"/>
              </w:rPr>
            </w:pPr>
            <w:r>
              <w:rPr>
                <w:rFonts w:ascii="Calibri" w:hAnsi="Calibri" w:cs="Calibri"/>
              </w:rPr>
              <w:t>45.8%</w:t>
            </w:r>
          </w:p>
        </w:tc>
      </w:tr>
      <w:tr w:rsidR="00106E54" w:rsidRPr="00970433" w14:paraId="4BC52B78" w14:textId="77777777" w:rsidTr="00547014">
        <w:tc>
          <w:tcPr>
            <w:tcW w:w="4002" w:type="pct"/>
            <w:hideMark/>
          </w:tcPr>
          <w:p w14:paraId="32407C47" w14:textId="77777777" w:rsidR="00106E54" w:rsidRPr="00970433" w:rsidRDefault="00106E54" w:rsidP="007C36E4">
            <w:pPr>
              <w:rPr>
                <w:rFonts w:ascii="Calibri" w:hAnsi="Calibri" w:cs="Calibri"/>
              </w:rPr>
            </w:pPr>
            <w:r w:rsidRPr="00970433">
              <w:rPr>
                <w:rFonts w:ascii="Calibri" w:hAnsi="Calibri" w:cs="Calibri"/>
              </w:rPr>
              <w:t>No</w:t>
            </w:r>
          </w:p>
        </w:tc>
        <w:tc>
          <w:tcPr>
            <w:tcW w:w="437" w:type="pct"/>
            <w:hideMark/>
          </w:tcPr>
          <w:p w14:paraId="6EEC7E64" w14:textId="77777777" w:rsidR="00106E54" w:rsidRPr="00970433" w:rsidRDefault="00106E54" w:rsidP="007C36E4">
            <w:pPr>
              <w:rPr>
                <w:rFonts w:ascii="Calibri" w:hAnsi="Calibri" w:cs="Calibri"/>
              </w:rPr>
            </w:pPr>
            <w:r>
              <w:rPr>
                <w:rFonts w:ascii="Calibri" w:hAnsi="Calibri" w:cs="Calibri"/>
              </w:rPr>
              <w:t>105</w:t>
            </w:r>
          </w:p>
        </w:tc>
        <w:tc>
          <w:tcPr>
            <w:tcW w:w="561" w:type="pct"/>
            <w:hideMark/>
          </w:tcPr>
          <w:p w14:paraId="01B9B0ED" w14:textId="77777777" w:rsidR="00106E54" w:rsidRPr="00970433" w:rsidRDefault="00106E54" w:rsidP="007C36E4">
            <w:pPr>
              <w:rPr>
                <w:rFonts w:ascii="Calibri" w:hAnsi="Calibri" w:cs="Calibri"/>
              </w:rPr>
            </w:pPr>
            <w:r>
              <w:rPr>
                <w:rFonts w:ascii="Calibri" w:hAnsi="Calibri" w:cs="Calibri"/>
              </w:rPr>
              <w:t>39.8%</w:t>
            </w:r>
          </w:p>
        </w:tc>
      </w:tr>
      <w:tr w:rsidR="00106E54" w:rsidRPr="00970433" w14:paraId="6A327E54" w14:textId="77777777" w:rsidTr="00547014">
        <w:tc>
          <w:tcPr>
            <w:tcW w:w="4002" w:type="pct"/>
            <w:hideMark/>
          </w:tcPr>
          <w:p w14:paraId="66217D59" w14:textId="77777777" w:rsidR="00106E54" w:rsidRPr="00970433" w:rsidRDefault="00106E54" w:rsidP="007C36E4">
            <w:pPr>
              <w:rPr>
                <w:rFonts w:ascii="Calibri" w:hAnsi="Calibri" w:cs="Calibri"/>
              </w:rPr>
            </w:pPr>
            <w:r w:rsidRPr="00970433">
              <w:rPr>
                <w:rFonts w:ascii="Calibri" w:hAnsi="Calibri" w:cs="Calibri"/>
              </w:rPr>
              <w:t>Not Answered</w:t>
            </w:r>
          </w:p>
        </w:tc>
        <w:tc>
          <w:tcPr>
            <w:tcW w:w="437" w:type="pct"/>
            <w:hideMark/>
          </w:tcPr>
          <w:p w14:paraId="2DD2BF9C" w14:textId="77777777" w:rsidR="00106E54" w:rsidRPr="00970433" w:rsidRDefault="00106E54" w:rsidP="007C36E4">
            <w:pPr>
              <w:rPr>
                <w:rFonts w:ascii="Calibri" w:hAnsi="Calibri" w:cs="Calibri"/>
              </w:rPr>
            </w:pPr>
            <w:r>
              <w:rPr>
                <w:rFonts w:ascii="Calibri" w:hAnsi="Calibri" w:cs="Calibri"/>
              </w:rPr>
              <w:t>38</w:t>
            </w:r>
          </w:p>
        </w:tc>
        <w:tc>
          <w:tcPr>
            <w:tcW w:w="561" w:type="pct"/>
            <w:hideMark/>
          </w:tcPr>
          <w:p w14:paraId="090D9C51" w14:textId="77777777" w:rsidR="00106E54" w:rsidRPr="00970433" w:rsidRDefault="00106E54" w:rsidP="007C36E4">
            <w:pPr>
              <w:rPr>
                <w:rFonts w:ascii="Calibri" w:hAnsi="Calibri" w:cs="Calibri"/>
              </w:rPr>
            </w:pPr>
            <w:r>
              <w:rPr>
                <w:rFonts w:ascii="Calibri" w:hAnsi="Calibri" w:cs="Calibri"/>
              </w:rPr>
              <w:t>14.4%</w:t>
            </w:r>
          </w:p>
        </w:tc>
      </w:tr>
    </w:tbl>
    <w:p w14:paraId="2E25517B" w14:textId="77777777" w:rsidR="00106E54" w:rsidRPr="00970433" w:rsidRDefault="00106E54" w:rsidP="007C36E4">
      <w:pPr>
        <w:pStyle w:val="mpcNormal"/>
        <w:spacing w:after="0"/>
        <w:rPr>
          <w:rFonts w:ascii="Calibri" w:hAnsi="Calibri" w:cs="Calibri"/>
        </w:rPr>
      </w:pPr>
    </w:p>
    <w:p w14:paraId="68B3A3EA" w14:textId="77777777" w:rsidR="00106E54" w:rsidRPr="00970433" w:rsidRDefault="00106E54" w:rsidP="007C36E4">
      <w:pPr>
        <w:rPr>
          <w:rFonts w:ascii="Calibri" w:hAnsi="Calibri" w:cs="Calibri"/>
        </w:rPr>
      </w:pPr>
    </w:p>
    <w:p w14:paraId="3888EB09" w14:textId="77777777" w:rsidR="00106E54" w:rsidRPr="00506D2E" w:rsidRDefault="00106E54" w:rsidP="007C36E4">
      <w:pPr>
        <w:pStyle w:val="mpcNormal"/>
        <w:rPr>
          <w:b/>
          <w:bCs/>
        </w:rPr>
      </w:pPr>
    </w:p>
    <w:sectPr w:rsidR="00106E54" w:rsidRPr="00506D2E" w:rsidSect="004C2914">
      <w:footerReference w:type="default" r:id="rId14"/>
      <w:pgSz w:w="11900" w:h="16840"/>
      <w:pgMar w:top="1304" w:right="1077" w:bottom="1304"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847497" w14:textId="77777777" w:rsidR="00037727" w:rsidRDefault="00037727">
      <w:r>
        <w:separator/>
      </w:r>
    </w:p>
  </w:endnote>
  <w:endnote w:type="continuationSeparator" w:id="0">
    <w:p w14:paraId="16D668E2" w14:textId="77777777" w:rsidR="00037727" w:rsidRDefault="000377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Optima">
    <w:panose1 w:val="02000503060000020004"/>
    <w:charset w:val="00"/>
    <w:family w:val="auto"/>
    <w:pitch w:val="variable"/>
    <w:sig w:usb0="80000067"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B3C5C7" w14:textId="77777777" w:rsidR="00FE12F6" w:rsidRPr="0003409A" w:rsidRDefault="00FE12F6" w:rsidP="004C29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965AA3" w14:textId="5B4FA18D" w:rsidR="00FE12F6" w:rsidRPr="0046489D" w:rsidRDefault="00FE12F6" w:rsidP="004C2914">
    <w:pPr>
      <w:pStyle w:val="Footer"/>
      <w:pBdr>
        <w:top w:val="single" w:sz="4" w:space="1" w:color="auto"/>
      </w:pBdr>
      <w:tabs>
        <w:tab w:val="right" w:pos="8832"/>
      </w:tabs>
      <w:ind w:left="-142" w:right="-99"/>
      <w:rPr>
        <w:color w:val="000000" w:themeColor="text1"/>
        <w:sz w:val="20"/>
        <w:szCs w:val="20"/>
      </w:rPr>
    </w:pPr>
    <w:r>
      <w:rPr>
        <w:color w:val="000000" w:themeColor="text1"/>
        <w:sz w:val="20"/>
        <w:szCs w:val="20"/>
      </w:rPr>
      <w:t xml:space="preserve">Aged Care Worker Regulation Scheme – </w:t>
    </w:r>
    <w:r w:rsidR="00FA08AC">
      <w:rPr>
        <w:color w:val="000000" w:themeColor="text1"/>
        <w:sz w:val="20"/>
        <w:szCs w:val="20"/>
      </w:rPr>
      <w:t xml:space="preserve">Final </w:t>
    </w:r>
    <w:r>
      <w:rPr>
        <w:color w:val="000000" w:themeColor="text1"/>
        <w:sz w:val="20"/>
        <w:szCs w:val="20"/>
      </w:rPr>
      <w:t>Report</w:t>
    </w:r>
    <w:r w:rsidRPr="0046489D">
      <w:rPr>
        <w:color w:val="000000" w:themeColor="text1"/>
        <w:sz w:val="20"/>
        <w:szCs w:val="20"/>
      </w:rPr>
      <w:tab/>
    </w:r>
    <w:r>
      <w:rPr>
        <w:color w:val="000000" w:themeColor="text1"/>
        <w:sz w:val="20"/>
        <w:szCs w:val="20"/>
      </w:rPr>
      <w:tab/>
    </w:r>
    <w:r w:rsidRPr="0046489D">
      <w:rPr>
        <w:rStyle w:val="PageNumber"/>
        <w:color w:val="000000" w:themeColor="text1"/>
        <w:sz w:val="20"/>
        <w:szCs w:val="20"/>
      </w:rPr>
      <w:t xml:space="preserve">Page </w:t>
    </w:r>
    <w:r w:rsidRPr="0046489D">
      <w:rPr>
        <w:rStyle w:val="PageNumber"/>
        <w:color w:val="000000" w:themeColor="text1"/>
        <w:sz w:val="20"/>
        <w:szCs w:val="20"/>
      </w:rPr>
      <w:fldChar w:fldCharType="begin"/>
    </w:r>
    <w:r w:rsidRPr="0046489D">
      <w:rPr>
        <w:rStyle w:val="PageNumber"/>
        <w:color w:val="000000" w:themeColor="text1"/>
        <w:sz w:val="20"/>
        <w:szCs w:val="20"/>
      </w:rPr>
      <w:instrText xml:space="preserve"> PAGE  \* MERGEFORMAT </w:instrText>
    </w:r>
    <w:r w:rsidRPr="0046489D">
      <w:rPr>
        <w:rStyle w:val="PageNumber"/>
        <w:color w:val="000000" w:themeColor="text1"/>
        <w:sz w:val="20"/>
        <w:szCs w:val="20"/>
      </w:rPr>
      <w:fldChar w:fldCharType="separate"/>
    </w:r>
    <w:r>
      <w:rPr>
        <w:rStyle w:val="PageNumber"/>
        <w:noProof/>
        <w:color w:val="000000" w:themeColor="text1"/>
        <w:sz w:val="20"/>
        <w:szCs w:val="20"/>
      </w:rPr>
      <w:t>3</w:t>
    </w:r>
    <w:r w:rsidRPr="0046489D">
      <w:rPr>
        <w:rStyle w:val="PageNumber"/>
        <w:color w:val="000000" w:themeColor="text1"/>
        <w:sz w:val="20"/>
        <w:szCs w:val="20"/>
      </w:rPr>
      <w:fldChar w:fldCharType="end"/>
    </w:r>
    <w:r w:rsidRPr="0046489D">
      <w:rPr>
        <w:rStyle w:val="PageNumber"/>
        <w:color w:val="000000" w:themeColor="text1"/>
        <w:sz w:val="20"/>
        <w:szCs w:val="20"/>
      </w:rPr>
      <w:t xml:space="preserve"> of </w:t>
    </w:r>
    <w:r w:rsidRPr="0046489D">
      <w:rPr>
        <w:rStyle w:val="PageNumber"/>
        <w:color w:val="000000" w:themeColor="text1"/>
        <w:sz w:val="20"/>
        <w:szCs w:val="20"/>
      </w:rPr>
      <w:fldChar w:fldCharType="begin"/>
    </w:r>
    <w:r w:rsidRPr="0046489D">
      <w:rPr>
        <w:rStyle w:val="PageNumber"/>
        <w:color w:val="000000" w:themeColor="text1"/>
        <w:sz w:val="20"/>
        <w:szCs w:val="20"/>
      </w:rPr>
      <w:instrText xml:space="preserve"> NUMPAGES  \* MERGEFORMAT </w:instrText>
    </w:r>
    <w:r w:rsidRPr="0046489D">
      <w:rPr>
        <w:rStyle w:val="PageNumber"/>
        <w:color w:val="000000" w:themeColor="text1"/>
        <w:sz w:val="20"/>
        <w:szCs w:val="20"/>
      </w:rPr>
      <w:fldChar w:fldCharType="separate"/>
    </w:r>
    <w:r>
      <w:rPr>
        <w:rStyle w:val="PageNumber"/>
        <w:noProof/>
        <w:color w:val="000000" w:themeColor="text1"/>
        <w:sz w:val="20"/>
        <w:szCs w:val="20"/>
      </w:rPr>
      <w:t>6</w:t>
    </w:r>
    <w:r w:rsidRPr="0046489D">
      <w:rPr>
        <w:rStyle w:val="PageNumber"/>
        <w:color w:val="000000" w:themeColor="text1"/>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0735D6" w14:textId="77777777" w:rsidR="00037727" w:rsidRDefault="00037727">
      <w:r>
        <w:separator/>
      </w:r>
    </w:p>
  </w:footnote>
  <w:footnote w:type="continuationSeparator" w:id="0">
    <w:p w14:paraId="321F73D6" w14:textId="77777777" w:rsidR="00037727" w:rsidRDefault="00037727">
      <w:r>
        <w:continuationSeparator/>
      </w:r>
    </w:p>
  </w:footnote>
  <w:footnote w:id="1">
    <w:p w14:paraId="499E2D99" w14:textId="544DD534" w:rsidR="00FE12F6" w:rsidRDefault="00FE12F6" w:rsidP="005B0D31">
      <w:pPr>
        <w:pStyle w:val="FootnoteText"/>
      </w:pPr>
      <w:r>
        <w:rPr>
          <w:rStyle w:val="FootnoteReference"/>
        </w:rPr>
        <w:footnoteRef/>
      </w:r>
      <w:r>
        <w:t xml:space="preserve"> </w:t>
      </w:r>
      <w:r w:rsidRPr="001C588F">
        <w:t xml:space="preserve">Royal Commission into Aged Care Quality and Safety, Interim Report – Neglect (31 October 2019), </w:t>
      </w:r>
      <w:r>
        <w:t xml:space="preserve">Volume 1, </w:t>
      </w:r>
      <w:r w:rsidRPr="001C588F">
        <w:t>p. 255.</w:t>
      </w:r>
    </w:p>
  </w:footnote>
  <w:footnote w:id="2">
    <w:p w14:paraId="3A11BD22" w14:textId="77777777" w:rsidR="00FE12F6" w:rsidRPr="003408DE" w:rsidRDefault="00FE12F6" w:rsidP="00F05A00">
      <w:pPr>
        <w:pStyle w:val="FootnoteText"/>
      </w:pPr>
      <w:r w:rsidRPr="003408DE">
        <w:rPr>
          <w:rStyle w:val="FootnoteReference"/>
          <w:rFonts w:cstheme="minorHAnsi"/>
        </w:rPr>
        <w:footnoteRef/>
      </w:r>
      <w:r w:rsidRPr="003408DE">
        <w:t xml:space="preserve"> Senate Committee, Community Affairs Reference Committee, </w:t>
      </w:r>
      <w:r w:rsidRPr="00391E70">
        <w:rPr>
          <w:i/>
          <w:iCs/>
        </w:rPr>
        <w:t>Future of Australia’s aged care sector workforce</w:t>
      </w:r>
      <w:r w:rsidRPr="003408DE">
        <w:t xml:space="preserve"> (2016), p. xv.</w:t>
      </w:r>
    </w:p>
  </w:footnote>
  <w:footnote w:id="3">
    <w:p w14:paraId="55919951" w14:textId="77777777" w:rsidR="00FE12F6" w:rsidRPr="003408DE" w:rsidRDefault="00FE12F6" w:rsidP="00F05A00">
      <w:pPr>
        <w:pStyle w:val="FootnoteText"/>
      </w:pPr>
      <w:r w:rsidRPr="003408DE">
        <w:rPr>
          <w:rStyle w:val="FootnoteReference"/>
          <w:rFonts w:cstheme="minorHAnsi"/>
        </w:rPr>
        <w:footnoteRef/>
      </w:r>
      <w:r w:rsidRPr="003408DE">
        <w:t xml:space="preserve"> Australian Law Reform Commission, </w:t>
      </w:r>
      <w:r w:rsidRPr="00391E70">
        <w:rPr>
          <w:i/>
          <w:iCs/>
        </w:rPr>
        <w:t>Elder Abuse – A National Legal Response: Final Report</w:t>
      </w:r>
      <w:r w:rsidRPr="003408DE">
        <w:t xml:space="preserve"> (ALRC Report 131), 2017, recommendation 4-9.</w:t>
      </w:r>
    </w:p>
  </w:footnote>
  <w:footnote w:id="4">
    <w:p w14:paraId="6832AA7E" w14:textId="0F57C180" w:rsidR="00FE12F6" w:rsidRDefault="00FE12F6">
      <w:pPr>
        <w:pStyle w:val="FootnoteText"/>
      </w:pPr>
      <w:r>
        <w:rPr>
          <w:rStyle w:val="FootnoteReference"/>
        </w:rPr>
        <w:footnoteRef/>
      </w:r>
      <w:r>
        <w:t xml:space="preserve"> Response from ACSA, see Transcript from </w:t>
      </w:r>
      <w:r w:rsidRPr="003408DE">
        <w:t>Royal Commission into Aged Care Quality and Safety, Melbourne Hearing 3, 16 October 2019, P-6010</w:t>
      </w:r>
      <w:r>
        <w:t>; Response from United Voice, see transcript</w:t>
      </w:r>
      <w:r w:rsidRPr="003408DE">
        <w:t xml:space="preserve"> 14 October 2019, P-5758</w:t>
      </w:r>
      <w:r>
        <w:t xml:space="preserve">; Response from the Aged Care Guild, see </w:t>
      </w:r>
      <w:r w:rsidRPr="003408DE">
        <w:rPr>
          <w:rFonts w:cstheme="minorHAnsi"/>
        </w:rPr>
        <w:t xml:space="preserve">Committee Hansard, 3 November 2016, p. 5 cited in the Senate Committee, Community Affairs Reference Committee, </w:t>
      </w:r>
      <w:r w:rsidRPr="00A35D8A">
        <w:rPr>
          <w:rFonts w:cstheme="minorHAnsi"/>
          <w:i/>
          <w:iCs/>
        </w:rPr>
        <w:t>Future of Australia’s aged care sector workforce</w:t>
      </w:r>
      <w:r w:rsidRPr="003408DE">
        <w:rPr>
          <w:rFonts w:cstheme="minorHAnsi"/>
        </w:rPr>
        <w:t xml:space="preserve"> (2016), p. 67.</w:t>
      </w:r>
    </w:p>
  </w:footnote>
  <w:footnote w:id="5">
    <w:p w14:paraId="028FB08E" w14:textId="3A946B23" w:rsidR="00FE12F6" w:rsidRPr="00BC4F08" w:rsidRDefault="00FE12F6" w:rsidP="00F05A00">
      <w:pPr>
        <w:rPr>
          <w:rFonts w:cstheme="minorHAnsi"/>
          <w:sz w:val="20"/>
          <w:szCs w:val="20"/>
        </w:rPr>
      </w:pPr>
      <w:r w:rsidRPr="003408DE">
        <w:rPr>
          <w:rStyle w:val="FootnoteReference"/>
          <w:rFonts w:cstheme="minorHAnsi"/>
          <w:sz w:val="20"/>
          <w:szCs w:val="20"/>
        </w:rPr>
        <w:footnoteRef/>
      </w:r>
      <w:r w:rsidRPr="003408DE">
        <w:rPr>
          <w:rFonts w:cstheme="minorHAnsi"/>
          <w:sz w:val="20"/>
          <w:szCs w:val="20"/>
        </w:rPr>
        <w:t xml:space="preserve"> Aged Care Workforce Strategy Taskforce,</w:t>
      </w:r>
      <w:r>
        <w:rPr>
          <w:rFonts w:cstheme="minorHAnsi"/>
          <w:sz w:val="20"/>
          <w:szCs w:val="20"/>
        </w:rPr>
        <w:t xml:space="preserve"> </w:t>
      </w:r>
      <w:r w:rsidRPr="00BC298C">
        <w:rPr>
          <w:rFonts w:cstheme="minorHAnsi"/>
          <w:i/>
          <w:iCs/>
          <w:sz w:val="20"/>
          <w:szCs w:val="20"/>
        </w:rPr>
        <w:t>A matter of care: Australia's aged care workforce strategy</w:t>
      </w:r>
      <w:r w:rsidRPr="00060E60">
        <w:rPr>
          <w:rFonts w:cstheme="minorHAnsi"/>
          <w:sz w:val="20"/>
          <w:szCs w:val="20"/>
        </w:rPr>
        <w:t>, 2018</w:t>
      </w:r>
      <w:r w:rsidRPr="003408DE">
        <w:rPr>
          <w:rFonts w:cstheme="minorHAnsi"/>
          <w:sz w:val="20"/>
          <w:szCs w:val="20"/>
        </w:rPr>
        <w:t>, p</w:t>
      </w:r>
      <w:r>
        <w:rPr>
          <w:rFonts w:cstheme="minorHAnsi"/>
          <w:sz w:val="20"/>
          <w:szCs w:val="20"/>
        </w:rPr>
        <w:t>.</w:t>
      </w:r>
      <w:r w:rsidRPr="003408DE">
        <w:rPr>
          <w:rFonts w:cstheme="minorHAnsi"/>
          <w:sz w:val="20"/>
          <w:szCs w:val="20"/>
        </w:rPr>
        <w:t xml:space="preserve"> 42.</w:t>
      </w:r>
    </w:p>
  </w:footnote>
  <w:footnote w:id="6">
    <w:p w14:paraId="5D74F493" w14:textId="77777777" w:rsidR="00FE12F6" w:rsidRDefault="00FE12F6" w:rsidP="00F05A00">
      <w:pPr>
        <w:pStyle w:val="FootnoteText"/>
      </w:pPr>
      <w:r w:rsidRPr="00BC4F08">
        <w:rPr>
          <w:rStyle w:val="FootnoteReference"/>
          <w:rFonts w:cstheme="minorHAnsi"/>
        </w:rPr>
        <w:footnoteRef/>
      </w:r>
      <w:r w:rsidRPr="00BC4F08">
        <w:t xml:space="preserve"> Royal Commission into Aged Care Quality and Safety, 21 February 2020, Transcript, P-7859.</w:t>
      </w:r>
      <w:r>
        <w:t xml:space="preserve"> </w:t>
      </w:r>
    </w:p>
  </w:footnote>
  <w:footnote w:id="7">
    <w:p w14:paraId="070A8A0B" w14:textId="77777777" w:rsidR="00FE12F6" w:rsidRPr="00A26CD9" w:rsidRDefault="00FE12F6" w:rsidP="00094308">
      <w:pPr>
        <w:pStyle w:val="FootnoteText"/>
        <w:rPr>
          <w:rFonts w:cstheme="minorHAnsi"/>
        </w:rPr>
      </w:pPr>
      <w:r w:rsidRPr="00A26CD9">
        <w:rPr>
          <w:rStyle w:val="FootnoteReference"/>
          <w:rFonts w:cstheme="minorHAnsi"/>
        </w:rPr>
        <w:footnoteRef/>
      </w:r>
      <w:r w:rsidRPr="00A26CD9">
        <w:rPr>
          <w:rFonts w:cstheme="minorHAnsi"/>
        </w:rPr>
        <w:t xml:space="preserve"> Sections 48 and 49 of the </w:t>
      </w:r>
      <w:r w:rsidRPr="00A26CD9">
        <w:rPr>
          <w:rFonts w:cstheme="minorHAnsi"/>
          <w:i/>
          <w:iCs/>
        </w:rPr>
        <w:t>Accountability Principles 2014</w:t>
      </w:r>
      <w:r w:rsidRPr="00A26CD9">
        <w:rPr>
          <w:rFonts w:cstheme="minorHAnsi"/>
        </w:rPr>
        <w:t>.</w:t>
      </w:r>
    </w:p>
  </w:footnote>
  <w:footnote w:id="8">
    <w:p w14:paraId="3A5E7EEB" w14:textId="77777777" w:rsidR="00FE12F6" w:rsidRPr="00A26CD9" w:rsidRDefault="00FE12F6" w:rsidP="00094308">
      <w:pPr>
        <w:pStyle w:val="mpcNormal"/>
        <w:spacing w:after="0"/>
        <w:rPr>
          <w:rFonts w:cstheme="minorHAnsi"/>
          <w:sz w:val="20"/>
          <w:szCs w:val="20"/>
        </w:rPr>
      </w:pPr>
      <w:r w:rsidRPr="00A26CD9">
        <w:rPr>
          <w:rFonts w:cstheme="minorHAnsi"/>
          <w:sz w:val="20"/>
          <w:szCs w:val="20"/>
          <w:vertAlign w:val="superscript"/>
        </w:rPr>
        <w:footnoteRef/>
      </w:r>
      <w:r w:rsidRPr="00A26CD9">
        <w:rPr>
          <w:rFonts w:cstheme="minorHAnsi"/>
          <w:sz w:val="20"/>
          <w:szCs w:val="20"/>
          <w:vertAlign w:val="superscript"/>
        </w:rPr>
        <w:t xml:space="preserve"> </w:t>
      </w:r>
      <w:r w:rsidRPr="00A26CD9">
        <w:rPr>
          <w:rFonts w:cstheme="minorHAnsi"/>
          <w:sz w:val="20"/>
          <w:szCs w:val="20"/>
        </w:rPr>
        <w:t xml:space="preserve">Section 53B of the </w:t>
      </w:r>
      <w:r w:rsidRPr="00A26CD9">
        <w:rPr>
          <w:rFonts w:cstheme="minorHAnsi"/>
          <w:i/>
          <w:iCs/>
          <w:sz w:val="20"/>
          <w:szCs w:val="20"/>
        </w:rPr>
        <w:t>Accountability Principles 2014</w:t>
      </w:r>
      <w:r w:rsidRPr="00A26CD9">
        <w:rPr>
          <w:rFonts w:cstheme="minorHAnsi"/>
          <w:sz w:val="20"/>
          <w:szCs w:val="20"/>
        </w:rPr>
        <w:t>.</w:t>
      </w:r>
    </w:p>
  </w:footnote>
  <w:footnote w:id="9">
    <w:p w14:paraId="5637DCAE" w14:textId="77777777" w:rsidR="00FE12F6" w:rsidRPr="00A26CD9" w:rsidRDefault="00FE12F6" w:rsidP="00094308">
      <w:pPr>
        <w:pStyle w:val="FootnoteText"/>
        <w:rPr>
          <w:rFonts w:cstheme="minorHAnsi"/>
        </w:rPr>
      </w:pPr>
      <w:r w:rsidRPr="00A26CD9">
        <w:rPr>
          <w:rFonts w:cstheme="minorHAnsi"/>
          <w:vertAlign w:val="superscript"/>
        </w:rPr>
        <w:footnoteRef/>
      </w:r>
      <w:r w:rsidRPr="00A26CD9">
        <w:rPr>
          <w:rFonts w:cstheme="minorHAnsi"/>
          <w:vertAlign w:val="superscript"/>
        </w:rPr>
        <w:t xml:space="preserve"> </w:t>
      </w:r>
      <w:r w:rsidRPr="00A26CD9">
        <w:rPr>
          <w:rFonts w:cstheme="minorHAnsi"/>
        </w:rPr>
        <w:t xml:space="preserve">Section 8A of the </w:t>
      </w:r>
      <w:r w:rsidRPr="00A26CD9">
        <w:rPr>
          <w:rFonts w:cstheme="minorHAnsi"/>
          <w:i/>
          <w:iCs/>
        </w:rPr>
        <w:t>Aged Care Quality and Safety Commission Act 2018.</w:t>
      </w:r>
      <w:r w:rsidRPr="00A26CD9">
        <w:rPr>
          <w:rFonts w:cstheme="minorHAnsi"/>
        </w:rPr>
        <w:t xml:space="preserve"> </w:t>
      </w:r>
    </w:p>
  </w:footnote>
  <w:footnote w:id="10">
    <w:p w14:paraId="3819DAD9" w14:textId="77777777" w:rsidR="00FE12F6" w:rsidRDefault="00FE12F6" w:rsidP="00094308">
      <w:r w:rsidRPr="00A26CD9">
        <w:rPr>
          <w:rFonts w:cstheme="minorHAnsi"/>
          <w:sz w:val="20"/>
          <w:szCs w:val="20"/>
          <w:vertAlign w:val="superscript"/>
        </w:rPr>
        <w:footnoteRef/>
      </w:r>
      <w:r w:rsidRPr="00A26CD9">
        <w:rPr>
          <w:rFonts w:cstheme="minorHAnsi"/>
          <w:sz w:val="20"/>
          <w:szCs w:val="20"/>
          <w:vertAlign w:val="superscript"/>
        </w:rPr>
        <w:t xml:space="preserve"> </w:t>
      </w:r>
      <w:r w:rsidRPr="00A26CD9">
        <w:rPr>
          <w:rFonts w:cstheme="minorHAnsi"/>
          <w:sz w:val="20"/>
          <w:szCs w:val="20"/>
        </w:rPr>
        <w:t>Commonwealth Home Support Programme Manual (2018-2020); National Aboriginal and Torres Strait Islander Flexible Aged Care Program Manual (2019).</w:t>
      </w:r>
      <w:r>
        <w:t xml:space="preserve"> </w:t>
      </w:r>
    </w:p>
  </w:footnote>
  <w:footnote w:id="11">
    <w:p w14:paraId="78DE61A4" w14:textId="148D2E45" w:rsidR="00FE12F6" w:rsidRDefault="00FE12F6" w:rsidP="00D36D41">
      <w:pPr>
        <w:pStyle w:val="FootnoteText"/>
      </w:pPr>
      <w:r>
        <w:rPr>
          <w:rStyle w:val="FootnoteReference"/>
        </w:rPr>
        <w:footnoteRef/>
      </w:r>
      <w:r>
        <w:t xml:space="preserve"> Standard 7, Aged Care Quality Standards. </w:t>
      </w:r>
    </w:p>
  </w:footnote>
  <w:footnote w:id="12">
    <w:p w14:paraId="06FDA08A" w14:textId="77777777" w:rsidR="00FE12F6" w:rsidRPr="00D72E8A" w:rsidRDefault="00FE12F6" w:rsidP="00511E5B">
      <w:pPr>
        <w:pStyle w:val="FootnoteText"/>
      </w:pPr>
      <w:r w:rsidRPr="00F83437">
        <w:rPr>
          <w:rStyle w:val="FootnoteReference"/>
          <w:rFonts w:cstheme="minorHAnsi"/>
        </w:rPr>
        <w:footnoteRef/>
      </w:r>
      <w:r w:rsidRPr="00F83437">
        <w:t xml:space="preserve"> Section 63-1AA</w:t>
      </w:r>
      <w:r>
        <w:t xml:space="preserve"> of the</w:t>
      </w:r>
      <w:r w:rsidRPr="00F83437">
        <w:t xml:space="preserve"> </w:t>
      </w:r>
      <w:r w:rsidRPr="00DE1382">
        <w:rPr>
          <w:i/>
          <w:iCs/>
        </w:rPr>
        <w:t>Aged Care Act 1997</w:t>
      </w:r>
      <w:r w:rsidRPr="00F83437">
        <w:t>; section 4</w:t>
      </w:r>
      <w:r>
        <w:t xml:space="preserve"> of the</w:t>
      </w:r>
      <w:r w:rsidRPr="00F83437">
        <w:t xml:space="preserve"> </w:t>
      </w:r>
      <w:r w:rsidRPr="00DE1382">
        <w:rPr>
          <w:i/>
          <w:iCs/>
        </w:rPr>
        <w:t>Accountability Principles 2014</w:t>
      </w:r>
      <w:r w:rsidRPr="00F83437">
        <w:t>.</w:t>
      </w:r>
      <w:r w:rsidRPr="00D72E8A">
        <w:t xml:space="preserve"> </w:t>
      </w:r>
    </w:p>
  </w:footnote>
  <w:footnote w:id="13">
    <w:p w14:paraId="22F1AE17" w14:textId="1D8C85FE" w:rsidR="00FE12F6" w:rsidRDefault="00FE12F6" w:rsidP="00A8150E">
      <w:r>
        <w:rPr>
          <w:rStyle w:val="FootnoteReference"/>
        </w:rPr>
        <w:footnoteRef/>
      </w:r>
      <w:r>
        <w:t xml:space="preserve"> </w:t>
      </w:r>
      <w:r w:rsidRPr="00A8150E">
        <w:rPr>
          <w:sz w:val="20"/>
          <w:szCs w:val="20"/>
        </w:rPr>
        <w:t xml:space="preserve">Section 5, </w:t>
      </w:r>
      <w:r w:rsidRPr="00C83A52">
        <w:rPr>
          <w:i/>
          <w:iCs/>
          <w:sz w:val="20"/>
          <w:szCs w:val="20"/>
        </w:rPr>
        <w:t>National Disability Insurance Scheme (Practice Standards—Worker Screening) Rules 2018</w:t>
      </w:r>
      <w:r w:rsidRPr="00A8150E">
        <w:rPr>
          <w:sz w:val="20"/>
          <w:szCs w:val="20"/>
        </w:rPr>
        <w:t>.</w:t>
      </w:r>
    </w:p>
  </w:footnote>
  <w:footnote w:id="14">
    <w:p w14:paraId="54067615" w14:textId="1EA757D9" w:rsidR="00FE12F6" w:rsidRDefault="00FE12F6">
      <w:pPr>
        <w:pStyle w:val="FootnoteText"/>
      </w:pPr>
      <w:r>
        <w:rPr>
          <w:rStyle w:val="FootnoteReference"/>
        </w:rPr>
        <w:footnoteRef/>
      </w:r>
      <w:r>
        <w:t xml:space="preserve"> </w:t>
      </w:r>
      <w:r w:rsidR="00237525">
        <w:t xml:space="preserve">Section 53B, </w:t>
      </w:r>
      <w:r w:rsidR="00237525" w:rsidRPr="00237525">
        <w:rPr>
          <w:i/>
          <w:iCs/>
        </w:rPr>
        <w:t>Accountability Principles 2014</w:t>
      </w:r>
      <w:r w:rsidR="00237525">
        <w:t xml:space="preserve">. </w:t>
      </w:r>
    </w:p>
  </w:footnote>
  <w:footnote w:id="15">
    <w:p w14:paraId="7E8D9F9F" w14:textId="77777777" w:rsidR="00FE12F6" w:rsidRPr="00BC4F08" w:rsidRDefault="00FE12F6" w:rsidP="00EC7C75">
      <w:pPr>
        <w:pStyle w:val="FootnoteText"/>
      </w:pPr>
      <w:r w:rsidRPr="00BC4F08">
        <w:rPr>
          <w:rStyle w:val="FootnoteReference"/>
          <w:rFonts w:cstheme="minorHAnsi"/>
        </w:rPr>
        <w:footnoteRef/>
      </w:r>
      <w:r w:rsidRPr="00BC4F08">
        <w:t xml:space="preserve"> </w:t>
      </w:r>
      <w:r w:rsidRPr="00A26CD9">
        <w:rPr>
          <w:i/>
          <w:iCs/>
        </w:rPr>
        <w:t>Intergovernmental Agreement on Nationally Consistent Worker Screening for the National Disability Insurance Scheme</w:t>
      </w:r>
      <w:r w:rsidRPr="00BC4F08">
        <w:t>, p. 16.</w:t>
      </w:r>
    </w:p>
  </w:footnote>
  <w:footnote w:id="16">
    <w:p w14:paraId="2EAFFBD4" w14:textId="1C3B04A6" w:rsidR="00131253" w:rsidRPr="00D24AF4" w:rsidRDefault="00131253" w:rsidP="00D24AF4">
      <w:pPr>
        <w:rPr>
          <w:sz w:val="20"/>
          <w:szCs w:val="20"/>
        </w:rPr>
      </w:pPr>
      <w:r w:rsidRPr="00D24AF4">
        <w:rPr>
          <w:rStyle w:val="FootnoteReference"/>
          <w:sz w:val="20"/>
          <w:szCs w:val="20"/>
        </w:rPr>
        <w:footnoteRef/>
      </w:r>
      <w:r w:rsidRPr="00D24AF4">
        <w:rPr>
          <w:sz w:val="20"/>
          <w:szCs w:val="20"/>
        </w:rPr>
        <w:t xml:space="preserve"> </w:t>
      </w:r>
      <w:r w:rsidR="00D24AF4" w:rsidRPr="00D24AF4">
        <w:rPr>
          <w:sz w:val="20"/>
          <w:szCs w:val="20"/>
        </w:rPr>
        <w:t xml:space="preserve">Section 5, </w:t>
      </w:r>
      <w:r w:rsidR="00D24AF4" w:rsidRPr="00D24AF4">
        <w:rPr>
          <w:i/>
          <w:iCs/>
          <w:sz w:val="20"/>
          <w:szCs w:val="20"/>
        </w:rPr>
        <w:t>National Disability Insurance Scheme (Code of Conduct) Rules 2018</w:t>
      </w:r>
      <w:r w:rsidR="0080285B">
        <w:rPr>
          <w:sz w:val="20"/>
          <w:szCs w:val="20"/>
        </w:rPr>
        <w:t xml:space="preserve"> defines ‘Code-covered people’ to mean NDIS providers and all persons e</w:t>
      </w:r>
      <w:r w:rsidR="006F0CF8">
        <w:rPr>
          <w:sz w:val="20"/>
          <w:szCs w:val="20"/>
        </w:rPr>
        <w:t>mployed</w:t>
      </w:r>
      <w:r w:rsidR="0080285B">
        <w:rPr>
          <w:sz w:val="20"/>
          <w:szCs w:val="20"/>
        </w:rPr>
        <w:t xml:space="preserve"> or otherwise e</w:t>
      </w:r>
      <w:r w:rsidR="006F0CF8">
        <w:rPr>
          <w:sz w:val="20"/>
          <w:szCs w:val="20"/>
        </w:rPr>
        <w:t>ngaged</w:t>
      </w:r>
      <w:r w:rsidR="0080285B">
        <w:rPr>
          <w:sz w:val="20"/>
          <w:szCs w:val="20"/>
        </w:rPr>
        <w:t xml:space="preserve"> by </w:t>
      </w:r>
      <w:r w:rsidR="006F0CF8">
        <w:rPr>
          <w:sz w:val="20"/>
          <w:szCs w:val="20"/>
        </w:rPr>
        <w:t>an NDIS</w:t>
      </w:r>
      <w:r w:rsidR="0080285B">
        <w:rPr>
          <w:sz w:val="20"/>
          <w:szCs w:val="20"/>
        </w:rPr>
        <w:t xml:space="preserve"> provider.</w:t>
      </w:r>
    </w:p>
  </w:footnote>
  <w:footnote w:id="17">
    <w:p w14:paraId="43303C51" w14:textId="01310271" w:rsidR="00FE12F6" w:rsidRDefault="00FE12F6" w:rsidP="00EC7C75">
      <w:pPr>
        <w:pStyle w:val="FootnoteText"/>
      </w:pPr>
      <w:r>
        <w:rPr>
          <w:rStyle w:val="FootnoteReference"/>
        </w:rPr>
        <w:footnoteRef/>
      </w:r>
      <w:r>
        <w:t xml:space="preserve"> Sections 17, 32 and 71, </w:t>
      </w:r>
      <w:r w:rsidRPr="009A4C6B">
        <w:rPr>
          <w:i/>
          <w:iCs/>
        </w:rPr>
        <w:t>Health and Disability Services (Complaint</w:t>
      </w:r>
      <w:r w:rsidRPr="005F17A3">
        <w:rPr>
          <w:i/>
          <w:iCs/>
        </w:rPr>
        <w:t>s) Act 1995</w:t>
      </w:r>
      <w:r>
        <w:t>.</w:t>
      </w:r>
    </w:p>
  </w:footnote>
  <w:footnote w:id="18">
    <w:p w14:paraId="2C86CDB0" w14:textId="433CD1C2" w:rsidR="00FE12F6" w:rsidRDefault="00FE12F6" w:rsidP="00EC7C75">
      <w:pPr>
        <w:pStyle w:val="FootnoteText"/>
      </w:pPr>
      <w:r>
        <w:rPr>
          <w:rStyle w:val="FootnoteReference"/>
        </w:rPr>
        <w:footnoteRef/>
      </w:r>
      <w:r>
        <w:t xml:space="preserve"> Section 14, </w:t>
      </w:r>
      <w:r w:rsidRPr="005F17A3">
        <w:rPr>
          <w:i/>
          <w:iCs/>
        </w:rPr>
        <w:t>Health Ombudsman Act 2013</w:t>
      </w:r>
      <w:r>
        <w:t xml:space="preserve">. </w:t>
      </w:r>
    </w:p>
  </w:footnote>
  <w:footnote w:id="19">
    <w:p w14:paraId="4A8D9FBF" w14:textId="2C79C9BD" w:rsidR="00FE12F6" w:rsidRDefault="00FE12F6" w:rsidP="00EC7C75">
      <w:pPr>
        <w:pStyle w:val="FootnoteText"/>
      </w:pPr>
      <w:r>
        <w:rPr>
          <w:rStyle w:val="FootnoteReference"/>
        </w:rPr>
        <w:footnoteRef/>
      </w:r>
      <w:r>
        <w:t xml:space="preserve"> Section 56C, </w:t>
      </w:r>
      <w:r w:rsidRPr="005F17A3">
        <w:rPr>
          <w:rFonts w:cstheme="minorHAnsi"/>
          <w:i/>
          <w:iCs/>
        </w:rPr>
        <w:t>Health and Community Services Act 2004</w:t>
      </w:r>
      <w:r>
        <w:rPr>
          <w:rFonts w:cstheme="minorHAnsi"/>
        </w:rPr>
        <w:t>.</w:t>
      </w:r>
    </w:p>
  </w:footnote>
  <w:footnote w:id="20">
    <w:p w14:paraId="0EA392D0" w14:textId="54C9BC0E" w:rsidR="00FE12F6" w:rsidRPr="00DE6EE3" w:rsidRDefault="00FE12F6" w:rsidP="00DE6EE3">
      <w:pPr>
        <w:rPr>
          <w:rFonts w:ascii="Times New Roman" w:eastAsia="Times New Roman" w:hAnsi="Times New Roman" w:cs="Times New Roman"/>
          <w:lang w:eastAsia="en-GB"/>
        </w:rPr>
      </w:pPr>
      <w:r w:rsidRPr="00DE218F">
        <w:rPr>
          <w:rStyle w:val="FootnoteReference"/>
          <w:rFonts w:cstheme="minorHAnsi"/>
        </w:rPr>
        <w:footnoteRef/>
      </w:r>
      <w:r w:rsidRPr="00DE218F">
        <w:rPr>
          <w:rFonts w:cstheme="minorHAnsi"/>
        </w:rPr>
        <w:t xml:space="preserve"> </w:t>
      </w:r>
      <w:r w:rsidRPr="009649D2">
        <w:rPr>
          <w:rFonts w:cstheme="minorHAnsi"/>
          <w:i/>
          <w:iCs/>
          <w:sz w:val="20"/>
          <w:szCs w:val="20"/>
        </w:rPr>
        <w:t>National Disability Insurance Scheme Amendment (Strengthening Banning Orders) Bill 2020</w:t>
      </w:r>
      <w:r w:rsidRPr="009649D2">
        <w:rPr>
          <w:rFonts w:cstheme="minorHAnsi"/>
          <w:sz w:val="20"/>
          <w:szCs w:val="20"/>
        </w:rPr>
        <w:t>, introduced to Federal Parliament on 12 June 2020.</w:t>
      </w:r>
      <w:r w:rsidRPr="00DE218F">
        <w:rPr>
          <w:rFonts w:cstheme="minorHAnsi"/>
        </w:rPr>
        <w:t xml:space="preserve"> </w:t>
      </w:r>
      <w:r w:rsidR="00C37828">
        <w:rPr>
          <w:rFonts w:cstheme="minorHAnsi"/>
          <w:sz w:val="20"/>
          <w:szCs w:val="20"/>
        </w:rPr>
        <w:t>The Bill s</w:t>
      </w:r>
      <w:r w:rsidRPr="006647F2">
        <w:rPr>
          <w:rFonts w:cstheme="minorHAnsi"/>
          <w:sz w:val="20"/>
          <w:szCs w:val="20"/>
        </w:rPr>
        <w:t xml:space="preserve">eeks to </w:t>
      </w:r>
      <w:r w:rsidR="00C37828">
        <w:rPr>
          <w:rFonts w:cstheme="minorHAnsi"/>
          <w:sz w:val="20"/>
          <w:szCs w:val="20"/>
        </w:rPr>
        <w:t xml:space="preserve">enable </w:t>
      </w:r>
      <w:r w:rsidRPr="006647F2">
        <w:rPr>
          <w:rFonts w:cstheme="minorHAnsi"/>
          <w:sz w:val="20"/>
          <w:szCs w:val="20"/>
        </w:rPr>
        <w:t>a banning order where there is a reasonable belief the person is ‘not suitable’ to ‘be involved in the provision of specified supports or services’ and the person has not previously work</w:t>
      </w:r>
      <w:r w:rsidR="00C37828">
        <w:rPr>
          <w:rFonts w:cstheme="minorHAnsi"/>
          <w:sz w:val="20"/>
          <w:szCs w:val="20"/>
        </w:rPr>
        <w:t>ed</w:t>
      </w:r>
      <w:r w:rsidRPr="006647F2">
        <w:rPr>
          <w:rFonts w:cstheme="minorHAnsi"/>
          <w:sz w:val="20"/>
          <w:szCs w:val="20"/>
        </w:rPr>
        <w:t xml:space="preserve"> in the NDIS.</w:t>
      </w:r>
      <w:r>
        <w:rPr>
          <w:rFonts w:cstheme="minorHAnsi"/>
          <w:sz w:val="20"/>
          <w:szCs w:val="20"/>
        </w:rPr>
        <w:t xml:space="preserve"> </w:t>
      </w:r>
      <w:r w:rsidR="00E95065">
        <w:rPr>
          <w:rFonts w:cstheme="minorHAnsi"/>
          <w:sz w:val="20"/>
          <w:szCs w:val="20"/>
        </w:rPr>
        <w:t>T</w:t>
      </w:r>
      <w:r>
        <w:rPr>
          <w:rFonts w:cstheme="minorHAnsi"/>
          <w:sz w:val="20"/>
          <w:szCs w:val="20"/>
        </w:rPr>
        <w:t>he Explanatory Memorandum</w:t>
      </w:r>
      <w:r w:rsidR="00E95065">
        <w:rPr>
          <w:rFonts w:cstheme="minorHAnsi"/>
          <w:sz w:val="20"/>
          <w:szCs w:val="20"/>
        </w:rPr>
        <w:t xml:space="preserve"> for the Bill</w:t>
      </w:r>
      <w:r>
        <w:rPr>
          <w:rFonts w:cstheme="minorHAnsi"/>
          <w:sz w:val="20"/>
          <w:szCs w:val="20"/>
        </w:rPr>
        <w:t xml:space="preserve"> refers to information about an aged care worker</w:t>
      </w:r>
      <w:r w:rsidRPr="00DE6EE3">
        <w:rPr>
          <w:rFonts w:cstheme="minorHAnsi"/>
          <w:sz w:val="20"/>
          <w:szCs w:val="20"/>
        </w:rPr>
        <w:t xml:space="preserve"> </w:t>
      </w:r>
      <w:r>
        <w:rPr>
          <w:rFonts w:cstheme="minorHAnsi"/>
          <w:sz w:val="20"/>
          <w:szCs w:val="20"/>
        </w:rPr>
        <w:t xml:space="preserve">being </w:t>
      </w:r>
      <w:r w:rsidRPr="00DE6EE3">
        <w:rPr>
          <w:rFonts w:cstheme="minorHAnsi"/>
          <w:sz w:val="20"/>
          <w:szCs w:val="20"/>
        </w:rPr>
        <w:t>consider</w:t>
      </w:r>
      <w:r>
        <w:rPr>
          <w:rFonts w:cstheme="minorHAnsi"/>
          <w:sz w:val="20"/>
          <w:szCs w:val="20"/>
        </w:rPr>
        <w:t>ed</w:t>
      </w:r>
      <w:r w:rsidRPr="00DE6EE3">
        <w:rPr>
          <w:rFonts w:cstheme="minorHAnsi"/>
          <w:sz w:val="20"/>
          <w:szCs w:val="20"/>
        </w:rPr>
        <w:t xml:space="preserve"> </w:t>
      </w:r>
      <w:r>
        <w:rPr>
          <w:rFonts w:cstheme="minorHAnsi"/>
          <w:sz w:val="20"/>
          <w:szCs w:val="20"/>
        </w:rPr>
        <w:t>and</w:t>
      </w:r>
      <w:r w:rsidR="00E95065">
        <w:rPr>
          <w:rFonts w:cstheme="minorHAnsi"/>
          <w:sz w:val="20"/>
          <w:szCs w:val="20"/>
        </w:rPr>
        <w:t xml:space="preserve"> that information being</w:t>
      </w:r>
      <w:r>
        <w:rPr>
          <w:rFonts w:cstheme="minorHAnsi"/>
          <w:sz w:val="20"/>
          <w:szCs w:val="20"/>
        </w:rPr>
        <w:t xml:space="preserve"> relevant to a </w:t>
      </w:r>
      <w:r w:rsidRPr="00DE6EE3">
        <w:rPr>
          <w:rFonts w:cstheme="minorHAnsi"/>
          <w:sz w:val="20"/>
          <w:szCs w:val="20"/>
        </w:rPr>
        <w:t xml:space="preserve">determination on whether to ban </w:t>
      </w:r>
      <w:r>
        <w:rPr>
          <w:rFonts w:cstheme="minorHAnsi"/>
          <w:sz w:val="20"/>
          <w:szCs w:val="20"/>
        </w:rPr>
        <w:t>a</w:t>
      </w:r>
      <w:r w:rsidRPr="00DE6EE3">
        <w:rPr>
          <w:rFonts w:cstheme="minorHAnsi"/>
          <w:sz w:val="20"/>
          <w:szCs w:val="20"/>
        </w:rPr>
        <w:t xml:space="preserve"> person from working with people with disability in the NDIS before they commence in the NDIS.</w:t>
      </w:r>
    </w:p>
  </w:footnote>
  <w:footnote w:id="21">
    <w:p w14:paraId="5EC16766" w14:textId="0D95A177" w:rsidR="00FE12F6" w:rsidRDefault="00FE12F6">
      <w:pPr>
        <w:pStyle w:val="FootnoteText"/>
      </w:pPr>
      <w:r>
        <w:rPr>
          <w:rStyle w:val="FootnoteReference"/>
        </w:rPr>
        <w:footnoteRef/>
      </w:r>
      <w:r>
        <w:t xml:space="preserve"> </w:t>
      </w:r>
      <w:r>
        <w:rPr>
          <w:rFonts w:cstheme="minorHAnsi"/>
        </w:rPr>
        <w:t>Note that stakeholder concerns regarding multiple bodies in this context did not include reference to circumstances where, for example, multiple WSUs would feed information to a national body, as occurs in the NDIS model.</w:t>
      </w:r>
    </w:p>
  </w:footnote>
  <w:footnote w:id="22">
    <w:p w14:paraId="37C9C7F5" w14:textId="4F799BCC" w:rsidR="00FE12F6" w:rsidRDefault="00FE12F6">
      <w:pPr>
        <w:pStyle w:val="FootnoteText"/>
      </w:pPr>
      <w:r>
        <w:rPr>
          <w:rStyle w:val="FootnoteReference"/>
        </w:rPr>
        <w:footnoteRef/>
      </w:r>
      <w:r>
        <w:t xml:space="preserve"> In its report,</w:t>
      </w:r>
      <w:r w:rsidRPr="00BC4F08">
        <w:rPr>
          <w:rFonts w:cstheme="minorHAnsi"/>
        </w:rPr>
        <w:t xml:space="preserve"> </w:t>
      </w:r>
      <w:r w:rsidRPr="00391E70">
        <w:rPr>
          <w:rFonts w:cstheme="minorHAnsi"/>
          <w:i/>
          <w:iCs/>
        </w:rPr>
        <w:t>Caring for older Australians</w:t>
      </w:r>
      <w:r w:rsidRPr="00BC4F08">
        <w:rPr>
          <w:rFonts w:cstheme="minorHAnsi"/>
        </w:rPr>
        <w:t xml:space="preserve">, </w:t>
      </w:r>
      <w:r w:rsidRPr="00CD7727">
        <w:rPr>
          <w:rFonts w:cstheme="minorHAnsi"/>
          <w:i/>
          <w:iCs/>
        </w:rPr>
        <w:t>op. cit.,</w:t>
      </w:r>
      <w:r>
        <w:rPr>
          <w:rFonts w:cstheme="minorHAnsi"/>
        </w:rPr>
        <w:t xml:space="preserve"> the</w:t>
      </w:r>
      <w:r w:rsidRPr="00DB362C">
        <w:t xml:space="preserve"> Productivity Commission predicted that the aged care workforce will need to have at least doubled by 2050 in order to meet the projected target of 980,000 workers needed to support the 3.5 million Australians who will be accessing aged care services every year</w:t>
      </w:r>
      <w:r>
        <w:t>.</w:t>
      </w:r>
    </w:p>
  </w:footnote>
  <w:footnote w:id="23">
    <w:p w14:paraId="0EDBC480" w14:textId="3F989EA1" w:rsidR="00FE12F6" w:rsidRPr="00D736DF" w:rsidRDefault="00FE12F6" w:rsidP="00D736DF">
      <w:pPr>
        <w:rPr>
          <w:sz w:val="20"/>
          <w:szCs w:val="20"/>
        </w:rPr>
      </w:pPr>
      <w:r w:rsidRPr="00D736DF">
        <w:rPr>
          <w:rStyle w:val="FootnoteReference"/>
        </w:rPr>
        <w:footnoteRef/>
      </w:r>
      <w:r w:rsidRPr="00D736DF">
        <w:rPr>
          <w:rStyle w:val="FootnoteReference"/>
        </w:rPr>
        <w:t xml:space="preserve"> </w:t>
      </w:r>
      <w:r w:rsidRPr="00D736DF">
        <w:rPr>
          <w:rFonts w:eastAsia="Times New Roman" w:cstheme="minorHAnsi"/>
          <w:sz w:val="20"/>
          <w:szCs w:val="20"/>
          <w:lang w:eastAsia="en-GB"/>
        </w:rPr>
        <w:t xml:space="preserve">According to the National Institute of Labour Studies, </w:t>
      </w:r>
      <w:r w:rsidRPr="00D736DF">
        <w:rPr>
          <w:rFonts w:eastAsia="Times New Roman" w:cstheme="minorHAnsi"/>
          <w:i/>
          <w:iCs/>
          <w:sz w:val="20"/>
          <w:szCs w:val="20"/>
          <w:lang w:eastAsia="en-GB"/>
        </w:rPr>
        <w:t xml:space="preserve">2016 National aged care workforce census and survey—the aged care workforce </w:t>
      </w:r>
      <w:r w:rsidRPr="00D736DF">
        <w:rPr>
          <w:rFonts w:eastAsia="Times New Roman" w:cstheme="minorHAnsi"/>
          <w:sz w:val="20"/>
          <w:szCs w:val="20"/>
          <w:lang w:eastAsia="en-GB"/>
        </w:rPr>
        <w:t>(2017), PCWs make up 70 per cent of the direct care workforce in residential care settings and 84 per cent in-home care and home support.</w:t>
      </w:r>
    </w:p>
  </w:footnote>
  <w:footnote w:id="24">
    <w:p w14:paraId="5123D4AE" w14:textId="1C3FD0E7" w:rsidR="00FE12F6" w:rsidRPr="00060E60" w:rsidRDefault="00FE12F6" w:rsidP="00B965AA">
      <w:pPr>
        <w:pStyle w:val="FootnoteText"/>
      </w:pPr>
      <w:r w:rsidRPr="00060E60">
        <w:rPr>
          <w:rStyle w:val="FootnoteReference"/>
          <w:rFonts w:cstheme="minorHAnsi"/>
        </w:rPr>
        <w:footnoteRef/>
      </w:r>
      <w:r w:rsidRPr="00060E60">
        <w:t xml:space="preserve"> Department of Health, March 2017, </w:t>
      </w:r>
      <w:hyperlink r:id="rId1" w:history="1">
        <w:r w:rsidRPr="00060E60">
          <w:rPr>
            <w:rStyle w:val="Hyperlink"/>
            <w:rFonts w:cstheme="minorHAnsi"/>
            <w:i/>
            <w:iCs/>
          </w:rPr>
          <w:t>Additional information about the 2016 National Aged Care Workforce Census</w:t>
        </w:r>
      </w:hyperlink>
      <w:r w:rsidRPr="00060E60">
        <w:t xml:space="preserve">, </w:t>
      </w:r>
      <w:r>
        <w:t xml:space="preserve">annexed in National Institute of Labour Studies, </w:t>
      </w:r>
      <w:r w:rsidRPr="00CD7727">
        <w:rPr>
          <w:i/>
          <w:iCs/>
        </w:rPr>
        <w:t>op. cit</w:t>
      </w:r>
      <w:r>
        <w:t xml:space="preserve">., </w:t>
      </w:r>
      <w:r w:rsidRPr="00060E60">
        <w:t>p.</w:t>
      </w:r>
      <w:r>
        <w:t xml:space="preserve"> </w:t>
      </w:r>
      <w:r w:rsidRPr="00060E60">
        <w:t>195.</w:t>
      </w:r>
    </w:p>
  </w:footnote>
  <w:footnote w:id="25">
    <w:p w14:paraId="66A2F29F" w14:textId="77777777" w:rsidR="00FE12F6" w:rsidRPr="00060E60" w:rsidRDefault="00FE12F6" w:rsidP="00B965AA">
      <w:pPr>
        <w:pStyle w:val="FootnoteText"/>
      </w:pPr>
      <w:r w:rsidRPr="00630EEF">
        <w:rPr>
          <w:rStyle w:val="FootnoteReference"/>
          <w:rFonts w:cstheme="minorHAnsi"/>
        </w:rPr>
        <w:footnoteRef/>
      </w:r>
      <w:r w:rsidRPr="00630EEF">
        <w:rPr>
          <w:rStyle w:val="FootnoteReference"/>
          <w:rFonts w:cstheme="minorHAnsi"/>
        </w:rPr>
        <w:t xml:space="preserve"> </w:t>
      </w:r>
      <w:r w:rsidRPr="00630EEF">
        <w:t>National</w:t>
      </w:r>
      <w:r w:rsidRPr="00060E60">
        <w:t xml:space="preserve"> Institute of Labour Studies, </w:t>
      </w:r>
      <w:r>
        <w:rPr>
          <w:i/>
          <w:iCs/>
        </w:rPr>
        <w:t>op. cit.</w:t>
      </w:r>
      <w:r w:rsidRPr="00060E60">
        <w:t>, p</w:t>
      </w:r>
      <w:r>
        <w:t>.</w:t>
      </w:r>
      <w:r w:rsidRPr="00060E60">
        <w:t xml:space="preserve"> xvi.</w:t>
      </w:r>
    </w:p>
  </w:footnote>
  <w:footnote w:id="26">
    <w:p w14:paraId="1442AEAF" w14:textId="77777777" w:rsidR="00FE12F6" w:rsidRPr="00060E60" w:rsidRDefault="00FE12F6" w:rsidP="00B965AA">
      <w:pPr>
        <w:pStyle w:val="FootnoteText"/>
      </w:pPr>
      <w:r w:rsidRPr="00060E60">
        <w:rPr>
          <w:rStyle w:val="FootnoteReference"/>
          <w:rFonts w:cstheme="minorHAnsi"/>
        </w:rPr>
        <w:footnoteRef/>
      </w:r>
      <w:r w:rsidRPr="00060E60">
        <w:t xml:space="preserve"> </w:t>
      </w:r>
      <w:r w:rsidRPr="00DE1382">
        <w:rPr>
          <w:i/>
          <w:iCs/>
        </w:rPr>
        <w:t>Ibid</w:t>
      </w:r>
      <w:r>
        <w:t>.</w:t>
      </w:r>
      <w:r w:rsidRPr="00060E60">
        <w:t>, p</w:t>
      </w:r>
      <w:r>
        <w:t>.</w:t>
      </w:r>
      <w:r w:rsidRPr="00060E60">
        <w:t xml:space="preserve"> 18.</w:t>
      </w:r>
    </w:p>
  </w:footnote>
  <w:footnote w:id="27">
    <w:p w14:paraId="2C8A9176" w14:textId="7EFCEFCB" w:rsidR="00FE12F6" w:rsidRDefault="00FE12F6">
      <w:pPr>
        <w:pStyle w:val="FootnoteText"/>
      </w:pPr>
      <w:r>
        <w:rPr>
          <w:rStyle w:val="FootnoteReference"/>
        </w:rPr>
        <w:footnoteRef/>
      </w:r>
      <w:r>
        <w:t xml:space="preserve"> </w:t>
      </w:r>
      <w:r w:rsidRPr="008D507B">
        <w:rPr>
          <w:rFonts w:cstheme="minorHAnsi"/>
          <w:shd w:val="clear" w:color="auto" w:fill="FFFFFF"/>
        </w:rPr>
        <w:t>International English Language Testing Syste</w:t>
      </w:r>
      <w:r>
        <w:rPr>
          <w:rFonts w:cstheme="minorHAnsi"/>
          <w:shd w:val="clear" w:color="auto" w:fill="FFFFFF"/>
        </w:rPr>
        <w:t xml:space="preserve">m, noting that the Nursing and Midwifery Board of Australia requires enrolled nurses to receive a </w:t>
      </w:r>
      <w:r w:rsidRPr="008D507B">
        <w:rPr>
          <w:rFonts w:cstheme="minorHAnsi"/>
          <w:shd w:val="clear" w:color="auto" w:fill="FFFFFF"/>
        </w:rPr>
        <w:t>minimum overall score of 7 and a minimum score of 7 in each of the four components (listening, reading, writing and speaking))</w:t>
      </w:r>
      <w:r>
        <w:rPr>
          <w:rFonts w:cstheme="minorHAnsi"/>
          <w:shd w:val="clear" w:color="auto" w:fill="FFFFFF"/>
        </w:rPr>
        <w:t xml:space="preserve"> under the English language skills registration standard. </w:t>
      </w:r>
    </w:p>
  </w:footnote>
  <w:footnote w:id="28">
    <w:p w14:paraId="0236813C" w14:textId="3381AA3F" w:rsidR="00FE12F6" w:rsidRPr="00AD689E" w:rsidRDefault="00FE12F6" w:rsidP="00AD689E">
      <w:pPr>
        <w:rPr>
          <w:rFonts w:eastAsia="Times New Roman" w:cstheme="minorHAnsi"/>
          <w:sz w:val="20"/>
          <w:szCs w:val="20"/>
          <w:lang w:eastAsia="en-GB"/>
        </w:rPr>
      </w:pPr>
      <w:r>
        <w:rPr>
          <w:rStyle w:val="FootnoteReference"/>
        </w:rPr>
        <w:footnoteRef/>
      </w:r>
      <w:r>
        <w:t xml:space="preserve"> </w:t>
      </w:r>
      <w:r w:rsidRPr="00AD689E">
        <w:rPr>
          <w:rFonts w:cstheme="minorHAnsi"/>
          <w:sz w:val="20"/>
          <w:szCs w:val="20"/>
        </w:rPr>
        <w:t xml:space="preserve">Under the </w:t>
      </w:r>
      <w:r w:rsidRPr="00AD689E">
        <w:rPr>
          <w:rFonts w:eastAsia="Times New Roman" w:cstheme="minorHAnsi"/>
          <w:color w:val="4A4A4A"/>
          <w:sz w:val="20"/>
          <w:szCs w:val="20"/>
          <w:shd w:val="clear" w:color="auto" w:fill="FFFFFF"/>
          <w:lang w:eastAsia="en-GB"/>
        </w:rPr>
        <w:t>Targeted Training and Apprenticeships Fund (TTAF)</w:t>
      </w:r>
      <w:r>
        <w:rPr>
          <w:rFonts w:eastAsia="Times New Roman" w:cstheme="minorHAnsi"/>
          <w:color w:val="4A4A4A"/>
          <w:sz w:val="20"/>
          <w:szCs w:val="20"/>
          <w:shd w:val="clear" w:color="auto" w:fill="FFFFFF"/>
          <w:lang w:eastAsia="en-GB"/>
        </w:rPr>
        <w:t xml:space="preserve"> initiative. </w:t>
      </w:r>
    </w:p>
    <w:p w14:paraId="5B75F2F6" w14:textId="0008898E" w:rsidR="00FE12F6" w:rsidRDefault="00FE12F6">
      <w:pPr>
        <w:pStyle w:val="FootnoteText"/>
      </w:pPr>
    </w:p>
  </w:footnote>
  <w:footnote w:id="29">
    <w:p w14:paraId="41BB71F4" w14:textId="77777777" w:rsidR="00FE12F6" w:rsidRPr="004042F3" w:rsidRDefault="00FE12F6" w:rsidP="00287FC7">
      <w:pPr>
        <w:pStyle w:val="NormalWeb"/>
        <w:spacing w:before="0" w:beforeAutospacing="0" w:after="0" w:afterAutospacing="0"/>
        <w:rPr>
          <w:rFonts w:cstheme="minorHAnsi"/>
          <w:sz w:val="20"/>
          <w:szCs w:val="20"/>
        </w:rPr>
      </w:pPr>
      <w:r w:rsidRPr="004042F3">
        <w:rPr>
          <w:rStyle w:val="FootnoteReference"/>
          <w:rFonts w:cstheme="minorHAnsi"/>
          <w:sz w:val="20"/>
          <w:szCs w:val="20"/>
        </w:rPr>
        <w:footnoteRef/>
      </w:r>
      <w:r w:rsidRPr="004042F3">
        <w:rPr>
          <w:rFonts w:cstheme="minorHAnsi"/>
          <w:sz w:val="20"/>
          <w:szCs w:val="20"/>
        </w:rPr>
        <w:t xml:space="preserve"> Delloite Access Economics, </w:t>
      </w:r>
      <w:r w:rsidRPr="003900D6">
        <w:rPr>
          <w:rFonts w:cstheme="minorHAnsi"/>
          <w:i/>
          <w:iCs/>
          <w:sz w:val="20"/>
          <w:szCs w:val="20"/>
        </w:rPr>
        <w:t>The Registration of Social Workers in Australia</w:t>
      </w:r>
      <w:r>
        <w:rPr>
          <w:rFonts w:cstheme="minorHAnsi"/>
          <w:sz w:val="20"/>
          <w:szCs w:val="20"/>
        </w:rPr>
        <w:t xml:space="preserve"> (2016). </w:t>
      </w:r>
    </w:p>
  </w:footnote>
  <w:footnote w:id="30">
    <w:p w14:paraId="13D6B35E" w14:textId="67457D9F" w:rsidR="00FE12F6" w:rsidRPr="000C1DF9" w:rsidRDefault="00FE12F6" w:rsidP="00D708F0">
      <w:pPr>
        <w:rPr>
          <w:rFonts w:ascii="Times New Roman" w:eastAsia="Times New Roman" w:hAnsi="Times New Roman" w:cs="Times New Roman"/>
          <w:sz w:val="20"/>
          <w:szCs w:val="20"/>
          <w:lang w:eastAsia="en-GB"/>
        </w:rPr>
      </w:pPr>
      <w:r w:rsidRPr="004042F3">
        <w:rPr>
          <w:rStyle w:val="FootnoteReference"/>
          <w:rFonts w:cstheme="minorHAnsi"/>
          <w:sz w:val="20"/>
          <w:szCs w:val="20"/>
        </w:rPr>
        <w:footnoteRef/>
      </w:r>
      <w:r>
        <w:rPr>
          <w:rFonts w:eastAsia="Times New Roman" w:cstheme="minorHAnsi"/>
          <w:sz w:val="20"/>
          <w:szCs w:val="20"/>
          <w:lang w:eastAsia="en-GB"/>
        </w:rPr>
        <w:t xml:space="preserve"> </w:t>
      </w:r>
      <w:r w:rsidRPr="000C1DF9">
        <w:rPr>
          <w:rFonts w:eastAsia="Times New Roman" w:cstheme="minorHAnsi"/>
          <w:sz w:val="20"/>
          <w:szCs w:val="20"/>
          <w:lang w:eastAsia="en-GB"/>
        </w:rPr>
        <w:t>Australian College of Care Workers,</w:t>
      </w:r>
      <w:r w:rsidRPr="000C1DF9">
        <w:rPr>
          <w:rFonts w:cstheme="minorHAnsi"/>
          <w:sz w:val="20"/>
          <w:szCs w:val="20"/>
        </w:rPr>
        <w:t xml:space="preserve"> </w:t>
      </w:r>
      <w:hyperlink r:id="rId2" w:history="1">
        <w:r w:rsidRPr="000C1DF9">
          <w:rPr>
            <w:rFonts w:eastAsia="Times New Roman" w:cstheme="minorHAnsi"/>
            <w:color w:val="0000FF"/>
            <w:sz w:val="20"/>
            <w:szCs w:val="20"/>
            <w:u w:val="single"/>
            <w:lang w:eastAsia="en-GB"/>
          </w:rPr>
          <w:t>https://www.careworkers.org.au/</w:t>
        </w:r>
      </w:hyperlink>
      <w:r w:rsidRPr="000C1DF9">
        <w:rPr>
          <w:rFonts w:eastAsia="Times New Roman" w:cstheme="minorHAnsi"/>
          <w:sz w:val="20"/>
          <w:szCs w:val="20"/>
          <w:lang w:eastAsia="en-GB"/>
        </w:rPr>
        <w:t>.</w:t>
      </w:r>
    </w:p>
  </w:footnote>
  <w:footnote w:id="31">
    <w:p w14:paraId="129013F8" w14:textId="77777777" w:rsidR="00FE12F6" w:rsidRDefault="00FE12F6" w:rsidP="002645C6">
      <w:pPr>
        <w:pStyle w:val="FootnoteText"/>
      </w:pPr>
      <w:r>
        <w:rPr>
          <w:rStyle w:val="FootnoteReference"/>
        </w:rPr>
        <w:footnoteRef/>
      </w:r>
      <w:r>
        <w:t xml:space="preserve"> For example, under the Aged Care Award 2010, a PCW who </w:t>
      </w:r>
      <w:r w:rsidRPr="00C47741">
        <w:t>hold</w:t>
      </w:r>
      <w:r>
        <w:t>s</w:t>
      </w:r>
      <w:r w:rsidRPr="00BD538E">
        <w:t xml:space="preserve"> </w:t>
      </w:r>
      <w:r w:rsidRPr="00C47741">
        <w:t xml:space="preserve">a relevant Certificate </w:t>
      </w:r>
      <w:r>
        <w:t>III</w:t>
      </w:r>
      <w:r w:rsidRPr="00C47741">
        <w:t xml:space="preserve"> qualification (or possesses equivalent knowledge and skills) and uses the skills and knowledge gained from that qualification in the performance of their work</w:t>
      </w:r>
      <w:r>
        <w:t xml:space="preserve"> falls under ‘Aged care employee level 4 – PCW grade 4’. Imposing minimum qualifications would therefore possibly increase the relevant employee levels for PCWs who do not currently meet the description for grade 4. </w:t>
      </w:r>
    </w:p>
  </w:footnote>
  <w:footnote w:id="32">
    <w:p w14:paraId="621583AD" w14:textId="77777777" w:rsidR="00FE12F6" w:rsidRPr="00D736DF" w:rsidRDefault="00FE12F6" w:rsidP="006D64AA">
      <w:pPr>
        <w:rPr>
          <w:sz w:val="20"/>
          <w:szCs w:val="20"/>
        </w:rPr>
      </w:pPr>
      <w:r>
        <w:rPr>
          <w:rStyle w:val="FootnoteReference"/>
        </w:rPr>
        <w:footnoteRef/>
      </w:r>
      <w:r>
        <w:t xml:space="preserve"> </w:t>
      </w:r>
      <w:r w:rsidRPr="00D736DF">
        <w:rPr>
          <w:rFonts w:eastAsia="Times New Roman" w:cstheme="minorHAnsi"/>
          <w:sz w:val="20"/>
          <w:szCs w:val="20"/>
          <w:lang w:eastAsia="en-GB"/>
        </w:rPr>
        <w:t xml:space="preserve">National Institute of Labour Studies, </w:t>
      </w:r>
      <w:r>
        <w:rPr>
          <w:rFonts w:eastAsia="Times New Roman" w:cstheme="minorHAnsi"/>
          <w:i/>
          <w:iCs/>
          <w:sz w:val="20"/>
          <w:szCs w:val="20"/>
          <w:lang w:eastAsia="en-GB"/>
        </w:rPr>
        <w:t>op. cit.</w:t>
      </w:r>
    </w:p>
    <w:p w14:paraId="6E6973A3" w14:textId="77777777" w:rsidR="00FE12F6" w:rsidRDefault="00FE12F6" w:rsidP="006D64AA">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2AC00C" w14:textId="77777777" w:rsidR="00FE12F6" w:rsidRDefault="00FE12F6" w:rsidP="004C2914">
    <w:pPr>
      <w:pStyle w:val="Header"/>
      <w:jc w:val="right"/>
      <w:rPr>
        <w:rFonts w:ascii="Cambria" w:hAnsi="Cambria"/>
        <w:b/>
        <w:sz w:val="20"/>
        <w:szCs w:val="20"/>
      </w:rPr>
    </w:pPr>
    <w:r>
      <w:rPr>
        <w:rFonts w:ascii="Cambria" w:hAnsi="Cambria"/>
        <w:b/>
        <w:noProof/>
        <w:sz w:val="20"/>
        <w:szCs w:val="20"/>
        <w:lang w:val="en-GB" w:eastAsia="en-GB"/>
      </w:rPr>
      <w:drawing>
        <wp:inline distT="0" distB="0" distL="0" distR="0" wp14:anchorId="1AB4B257" wp14:editId="18279AA3">
          <wp:extent cx="1454468" cy="255793"/>
          <wp:effectExtent l="0" t="0" r="0" b="0"/>
          <wp:docPr id="3" name="Picture 3" descr="mpconsult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mpc-logo grey green.jpg"/>
                  <pic:cNvPicPr/>
                </pic:nvPicPr>
                <pic:blipFill>
                  <a:blip r:embed="rId1">
                    <a:extLst>
                      <a:ext uri="{28A0092B-C50C-407E-A947-70E740481C1C}">
                        <a14:useLocalDpi xmlns:a14="http://schemas.microsoft.com/office/drawing/2010/main" val="0"/>
                      </a:ext>
                    </a:extLst>
                  </a:blip>
                  <a:stretch>
                    <a:fillRect/>
                  </a:stretch>
                </pic:blipFill>
                <pic:spPr>
                  <a:xfrm>
                    <a:off x="0" y="0"/>
                    <a:ext cx="1530715" cy="269202"/>
                  </a:xfrm>
                  <a:prstGeom prst="rect">
                    <a:avLst/>
                  </a:prstGeom>
                </pic:spPr>
              </pic:pic>
            </a:graphicData>
          </a:graphic>
        </wp:inline>
      </w:drawing>
    </w:r>
  </w:p>
  <w:p w14:paraId="00164DA0" w14:textId="77777777" w:rsidR="00FE12F6" w:rsidRPr="002C2A25" w:rsidRDefault="00FE12F6" w:rsidP="004C2914">
    <w:pPr>
      <w:pStyle w:val="Header"/>
      <w:rPr>
        <w:rFonts w:ascii="Cambria" w:hAnsi="Cambria"/>
        <w:b/>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1014147E"/>
    <w:lvl w:ilvl="0" w:tplc="DC58DCAA">
      <w:start w:val="1"/>
      <w:numFmt w:val="bullet"/>
      <w:pStyle w:val="mpcbullets1"/>
      <w:lvlText w:val="•"/>
      <w:lvlJc w:val="left"/>
      <w:pPr>
        <w:ind w:left="360" w:hanging="360"/>
      </w:pPr>
    </w:lvl>
    <w:lvl w:ilvl="1" w:tplc="0809000B">
      <w:start w:val="1"/>
      <w:numFmt w:val="bullet"/>
      <w:lvlText w:val=""/>
      <w:lvlJc w:val="left"/>
      <w:pPr>
        <w:ind w:left="360" w:hanging="360"/>
      </w:pPr>
      <w:rPr>
        <w:rFonts w:ascii="Wingdings" w:hAnsi="Wingdings" w:hint="default"/>
      </w:rPr>
    </w:lvl>
    <w:lvl w:ilvl="2" w:tplc="0809000B">
      <w:start w:val="1"/>
      <w:numFmt w:val="bullet"/>
      <w:lvlText w:val=""/>
      <w:lvlJc w:val="left"/>
      <w:pPr>
        <w:ind w:left="360" w:hanging="360"/>
      </w:pPr>
      <w:rPr>
        <w:rFonts w:ascii="Wingdings" w:hAnsi="Wingdings" w:hint="default"/>
      </w:rPr>
    </w:lvl>
    <w:lvl w:ilvl="3" w:tplc="0809000B">
      <w:start w:val="1"/>
      <w:numFmt w:val="bullet"/>
      <w:lvlText w:val=""/>
      <w:lvlJc w:val="left"/>
      <w:pPr>
        <w:ind w:left="360" w:hanging="360"/>
      </w:pPr>
      <w:rPr>
        <w:rFonts w:ascii="Wingdings" w:hAnsi="Wingdings" w:hint="default"/>
      </w:r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CE72730"/>
    <w:multiLevelType w:val="hybridMultilevel"/>
    <w:tmpl w:val="5C72E908"/>
    <w:lvl w:ilvl="0" w:tplc="7A36FB6C">
      <w:start w:val="20"/>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D356CF3"/>
    <w:multiLevelType w:val="hybridMultilevel"/>
    <w:tmpl w:val="095EA4EE"/>
    <w:lvl w:ilvl="0" w:tplc="CEE82A64">
      <w:start w:val="1"/>
      <w:numFmt w:val="decimal"/>
      <w:pStyle w:val="mpcnumberedlist1"/>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5794A21"/>
    <w:multiLevelType w:val="hybridMultilevel"/>
    <w:tmpl w:val="A6C4612C"/>
    <w:lvl w:ilvl="0" w:tplc="A894CE00">
      <w:start w:val="1"/>
      <w:numFmt w:val="bullet"/>
      <w:pStyle w:val="mpcbullets2"/>
      <w:lvlText w:val="-"/>
      <w:lvlJc w:val="left"/>
      <w:pPr>
        <w:ind w:left="720" w:hanging="360"/>
      </w:pPr>
      <w:rPr>
        <w:rFonts w:ascii="Courier New" w:hAnsi="Courier New" w:hint="default"/>
      </w:rPr>
    </w:lvl>
    <w:lvl w:ilvl="1" w:tplc="07A6BE40">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E715E0"/>
    <w:multiLevelType w:val="hybridMultilevel"/>
    <w:tmpl w:val="8826A93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53C7F77"/>
    <w:multiLevelType w:val="multilevel"/>
    <w:tmpl w:val="7C4285AC"/>
    <w:lvl w:ilvl="0">
      <w:start w:val="1"/>
      <w:numFmt w:val="bullet"/>
      <w:lvlText w:val=""/>
      <w:lvlJc w:val="left"/>
      <w:pPr>
        <w:tabs>
          <w:tab w:val="num" w:pos="360"/>
        </w:tabs>
        <w:ind w:left="360" w:hanging="360"/>
      </w:pPr>
      <w:rPr>
        <w:rFonts w:ascii="Symbol" w:hAnsi="Symbol" w:hint="default"/>
        <w:sz w:val="20"/>
      </w:rPr>
    </w:lvl>
    <w:lvl w:ilvl="1">
      <w:start w:val="1"/>
      <w:numFmt w:val="lowerRoman"/>
      <w:lvlText w:val="(%2)"/>
      <w:lvlJc w:val="left"/>
      <w:pPr>
        <w:ind w:left="1440" w:hanging="720"/>
      </w:pPr>
      <w:rPr>
        <w:rFonts w:hint="default"/>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6" w15:restartNumberingAfterBreak="0">
    <w:nsid w:val="363263B0"/>
    <w:multiLevelType w:val="hybridMultilevel"/>
    <w:tmpl w:val="29CE3A04"/>
    <w:lvl w:ilvl="0" w:tplc="0C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6B1BA6"/>
    <w:multiLevelType w:val="hybridMultilevel"/>
    <w:tmpl w:val="B9C65032"/>
    <w:lvl w:ilvl="0" w:tplc="EBE8DF10">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EFC05EC"/>
    <w:multiLevelType w:val="hybridMultilevel"/>
    <w:tmpl w:val="FBE89E44"/>
    <w:lvl w:ilvl="0" w:tplc="1DAA6CE2">
      <w:start w:val="1"/>
      <w:numFmt w:val="lowerLetter"/>
      <w:pStyle w:val="mpcnumberedlist2"/>
      <w:lvlText w:val="%1."/>
      <w:lvlJc w:val="left"/>
      <w:pPr>
        <w:ind w:left="717" w:hanging="360"/>
      </w:pPr>
      <w:rPr>
        <w:rFonts w:hint="default"/>
      </w:rPr>
    </w:lvl>
    <w:lvl w:ilvl="1" w:tplc="74789970">
      <w:start w:val="1"/>
      <w:numFmt w:val="bullet"/>
      <w:lvlText w:val=""/>
      <w:lvlJc w:val="left"/>
      <w:pPr>
        <w:ind w:left="1437" w:hanging="360"/>
      </w:pPr>
      <w:rPr>
        <w:rFonts w:ascii="Symbol" w:hAnsi="Symbol"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9" w15:restartNumberingAfterBreak="0">
    <w:nsid w:val="3FD34EC8"/>
    <w:multiLevelType w:val="hybridMultilevel"/>
    <w:tmpl w:val="A09621DA"/>
    <w:lvl w:ilvl="0" w:tplc="0E88D81E">
      <w:start w:val="1"/>
      <w:numFmt w:val="bullet"/>
      <w:lvlText w:val="-"/>
      <w:lvlJc w:val="left"/>
      <w:pPr>
        <w:ind w:left="720" w:hanging="360"/>
      </w:pPr>
      <w:rPr>
        <w:rFonts w:ascii="Calibri" w:eastAsia="Cambr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5470525"/>
    <w:multiLevelType w:val="hybridMultilevel"/>
    <w:tmpl w:val="7030609C"/>
    <w:lvl w:ilvl="0" w:tplc="D3E2274C">
      <w:start w:val="1"/>
      <w:numFmt w:val="bullet"/>
      <w:pStyle w:val="Bullet1"/>
      <w:lvlText w:val=""/>
      <w:lvlJc w:val="left"/>
      <w:pPr>
        <w:ind w:left="360" w:hanging="360"/>
      </w:pPr>
      <w:rPr>
        <w:rFonts w:ascii="Symbol" w:hAnsi="Symbol" w:hint="default"/>
      </w:rPr>
    </w:lvl>
    <w:lvl w:ilvl="1" w:tplc="7438F836">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C0B6DB7"/>
    <w:multiLevelType w:val="hybridMultilevel"/>
    <w:tmpl w:val="CAE42F1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D375227"/>
    <w:multiLevelType w:val="hybridMultilevel"/>
    <w:tmpl w:val="E89AEFE4"/>
    <w:lvl w:ilvl="0" w:tplc="04090001">
      <w:start w:val="1"/>
      <w:numFmt w:val="bullet"/>
      <w:pStyle w:val="List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6CB377E"/>
    <w:multiLevelType w:val="hybridMultilevel"/>
    <w:tmpl w:val="26BAFD7A"/>
    <w:lvl w:ilvl="0" w:tplc="C324E256">
      <w:start w:val="1"/>
      <w:numFmt w:val="bullet"/>
      <w:pStyle w:val="mpcbullets3"/>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D326A81"/>
    <w:multiLevelType w:val="hybridMultilevel"/>
    <w:tmpl w:val="250EE1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738E608A"/>
    <w:multiLevelType w:val="hybridMultilevel"/>
    <w:tmpl w:val="B0AC4CB2"/>
    <w:lvl w:ilvl="0" w:tplc="07A6BE40">
      <w:start w:val="1"/>
      <w:numFmt w:val="bullet"/>
      <w:lvlText w:val="-"/>
      <w:lvlJc w:val="left"/>
      <w:pPr>
        <w:ind w:left="720" w:hanging="360"/>
      </w:pPr>
      <w:rPr>
        <w:rFonts w:ascii="Courier New" w:hAnsi="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3"/>
  </w:num>
  <w:num w:numId="4">
    <w:abstractNumId w:val="3"/>
  </w:num>
  <w:num w:numId="5">
    <w:abstractNumId w:val="8"/>
  </w:num>
  <w:num w:numId="6">
    <w:abstractNumId w:val="1"/>
  </w:num>
  <w:num w:numId="7">
    <w:abstractNumId w:val="12"/>
  </w:num>
  <w:num w:numId="8">
    <w:abstractNumId w:val="5"/>
  </w:num>
  <w:num w:numId="9">
    <w:abstractNumId w:val="4"/>
  </w:num>
  <w:num w:numId="10">
    <w:abstractNumId w:val="7"/>
  </w:num>
  <w:num w:numId="11">
    <w:abstractNumId w:val="10"/>
  </w:num>
  <w:num w:numId="12">
    <w:abstractNumId w:val="9"/>
  </w:num>
  <w:num w:numId="13">
    <w:abstractNumId w:val="14"/>
  </w:num>
  <w:num w:numId="14">
    <w:abstractNumId w:val="11"/>
  </w:num>
  <w:num w:numId="15">
    <w:abstractNumId w:val="15"/>
  </w:num>
  <w:num w:numId="16">
    <w:abstractNumId w:val="0"/>
  </w:num>
  <w:num w:numId="17">
    <w:abstractNumId w:val="0"/>
  </w:num>
  <w:num w:numId="18">
    <w:abstractNumId w:val="0"/>
  </w:num>
  <w:num w:numId="19">
    <w:abstractNumId w:val="3"/>
  </w:num>
  <w:num w:numId="20">
    <w:abstractNumId w:val="3"/>
  </w:num>
  <w:num w:numId="21">
    <w:abstractNumId w:val="3"/>
  </w:num>
  <w:num w:numId="22">
    <w:abstractNumId w:val="3"/>
  </w:num>
  <w:num w:numId="23">
    <w:abstractNumId w:val="0"/>
  </w:num>
  <w:num w:numId="24">
    <w:abstractNumId w:val="0"/>
  </w:num>
  <w:num w:numId="25">
    <w:abstractNumId w:val="0"/>
  </w:num>
  <w:num w:numId="26">
    <w:abstractNumId w:val="6"/>
  </w:num>
  <w:num w:numId="27">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displayBackgroundShape/>
  <w:activeWritingStyle w:appName="MSWord" w:lang="en-AU" w:vendorID="64" w:dllVersion="4096" w:nlCheck="1" w:checkStyle="0"/>
  <w:activeWritingStyle w:appName="MSWord" w:lang="en-AU" w:vendorID="64" w:dllVersion="0" w:nlCheck="1" w:checkStyle="0"/>
  <w:activeWritingStyle w:appName="MSWord" w:lang="en-US" w:vendorID="64" w:dllVersion="0" w:nlCheck="1" w:checkStyle="0"/>
  <w:activeWritingStyle w:appName="MSWord" w:lang="en-GB" w:vendorID="64" w:dllVersion="0" w:nlCheck="1" w:checkStyle="0"/>
  <w:activeWritingStyle w:appName="MSWord" w:lang="en-US" w:vendorID="64" w:dllVersion="4096" w:nlCheck="1" w:checkStyle="0"/>
  <w:activeWritingStyle w:appName="MSWord" w:lang="en-GB" w:vendorID="64" w:dllVersion="4096" w:nlCheck="1" w:checkStyle="0"/>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56B3"/>
    <w:rsid w:val="000039FA"/>
    <w:rsid w:val="0000445C"/>
    <w:rsid w:val="00004D8F"/>
    <w:rsid w:val="000137F4"/>
    <w:rsid w:val="00015545"/>
    <w:rsid w:val="000178FE"/>
    <w:rsid w:val="00020D59"/>
    <w:rsid w:val="00020FFD"/>
    <w:rsid w:val="0002309E"/>
    <w:rsid w:val="00024AAE"/>
    <w:rsid w:val="000254CF"/>
    <w:rsid w:val="00025F41"/>
    <w:rsid w:val="00027301"/>
    <w:rsid w:val="000278A6"/>
    <w:rsid w:val="00027E06"/>
    <w:rsid w:val="00031646"/>
    <w:rsid w:val="0003295B"/>
    <w:rsid w:val="000329B3"/>
    <w:rsid w:val="00035979"/>
    <w:rsid w:val="00037727"/>
    <w:rsid w:val="00037EC7"/>
    <w:rsid w:val="00051092"/>
    <w:rsid w:val="00053187"/>
    <w:rsid w:val="0005335E"/>
    <w:rsid w:val="00054784"/>
    <w:rsid w:val="000548C2"/>
    <w:rsid w:val="00055376"/>
    <w:rsid w:val="00055C02"/>
    <w:rsid w:val="00056E5D"/>
    <w:rsid w:val="00064488"/>
    <w:rsid w:val="000645B8"/>
    <w:rsid w:val="00070916"/>
    <w:rsid w:val="00073660"/>
    <w:rsid w:val="000775B8"/>
    <w:rsid w:val="00077759"/>
    <w:rsid w:val="0008154B"/>
    <w:rsid w:val="000817B9"/>
    <w:rsid w:val="00081961"/>
    <w:rsid w:val="000823BA"/>
    <w:rsid w:val="00084929"/>
    <w:rsid w:val="00087498"/>
    <w:rsid w:val="000875E1"/>
    <w:rsid w:val="00087A28"/>
    <w:rsid w:val="000905F3"/>
    <w:rsid w:val="00091CF2"/>
    <w:rsid w:val="00094308"/>
    <w:rsid w:val="00095744"/>
    <w:rsid w:val="00097627"/>
    <w:rsid w:val="000A026E"/>
    <w:rsid w:val="000A0299"/>
    <w:rsid w:val="000A09A2"/>
    <w:rsid w:val="000A3217"/>
    <w:rsid w:val="000B0350"/>
    <w:rsid w:val="000B28F1"/>
    <w:rsid w:val="000B55E4"/>
    <w:rsid w:val="000C191B"/>
    <w:rsid w:val="000C1DF9"/>
    <w:rsid w:val="000C2F95"/>
    <w:rsid w:val="000C4069"/>
    <w:rsid w:val="000D1305"/>
    <w:rsid w:val="000D16D8"/>
    <w:rsid w:val="000D246C"/>
    <w:rsid w:val="000D5D35"/>
    <w:rsid w:val="000D6125"/>
    <w:rsid w:val="000D7A0F"/>
    <w:rsid w:val="000E014A"/>
    <w:rsid w:val="000E5810"/>
    <w:rsid w:val="000E62AD"/>
    <w:rsid w:val="000E75A0"/>
    <w:rsid w:val="000E75A2"/>
    <w:rsid w:val="000E7A48"/>
    <w:rsid w:val="000E7EC5"/>
    <w:rsid w:val="000F01CF"/>
    <w:rsid w:val="000F16AC"/>
    <w:rsid w:val="000F1ABA"/>
    <w:rsid w:val="000F1EB4"/>
    <w:rsid w:val="000F2904"/>
    <w:rsid w:val="000F3BFE"/>
    <w:rsid w:val="000F4B8D"/>
    <w:rsid w:val="00101A63"/>
    <w:rsid w:val="00101E7E"/>
    <w:rsid w:val="001023EB"/>
    <w:rsid w:val="00103CCA"/>
    <w:rsid w:val="00105CE6"/>
    <w:rsid w:val="001067EA"/>
    <w:rsid w:val="00106E54"/>
    <w:rsid w:val="001071D7"/>
    <w:rsid w:val="001071F4"/>
    <w:rsid w:val="00107901"/>
    <w:rsid w:val="0011075D"/>
    <w:rsid w:val="0011085C"/>
    <w:rsid w:val="0011322C"/>
    <w:rsid w:val="00113BED"/>
    <w:rsid w:val="00114507"/>
    <w:rsid w:val="00114AB4"/>
    <w:rsid w:val="001173DF"/>
    <w:rsid w:val="001220E4"/>
    <w:rsid w:val="00122130"/>
    <w:rsid w:val="00123B67"/>
    <w:rsid w:val="001241AD"/>
    <w:rsid w:val="001245C5"/>
    <w:rsid w:val="00131253"/>
    <w:rsid w:val="00133D90"/>
    <w:rsid w:val="00137B93"/>
    <w:rsid w:val="00140C17"/>
    <w:rsid w:val="00146D63"/>
    <w:rsid w:val="00146FA5"/>
    <w:rsid w:val="00146FF4"/>
    <w:rsid w:val="00150928"/>
    <w:rsid w:val="00150D25"/>
    <w:rsid w:val="00152714"/>
    <w:rsid w:val="001600F6"/>
    <w:rsid w:val="00162ECF"/>
    <w:rsid w:val="00166636"/>
    <w:rsid w:val="0017517A"/>
    <w:rsid w:val="0018075C"/>
    <w:rsid w:val="00183C3E"/>
    <w:rsid w:val="00184229"/>
    <w:rsid w:val="00186F3B"/>
    <w:rsid w:val="001932E9"/>
    <w:rsid w:val="00196593"/>
    <w:rsid w:val="001A18D3"/>
    <w:rsid w:val="001A676B"/>
    <w:rsid w:val="001B5B9D"/>
    <w:rsid w:val="001B7712"/>
    <w:rsid w:val="001C125C"/>
    <w:rsid w:val="001C3E9A"/>
    <w:rsid w:val="001D00D8"/>
    <w:rsid w:val="001D2331"/>
    <w:rsid w:val="001D2F0F"/>
    <w:rsid w:val="001D77BC"/>
    <w:rsid w:val="001D7958"/>
    <w:rsid w:val="001E0DC1"/>
    <w:rsid w:val="001E1E1A"/>
    <w:rsid w:val="001E45D9"/>
    <w:rsid w:val="001E5A41"/>
    <w:rsid w:val="001F146B"/>
    <w:rsid w:val="001F16E7"/>
    <w:rsid w:val="001F7522"/>
    <w:rsid w:val="00200350"/>
    <w:rsid w:val="00200A77"/>
    <w:rsid w:val="00206149"/>
    <w:rsid w:val="00206D98"/>
    <w:rsid w:val="00217350"/>
    <w:rsid w:val="00220DF9"/>
    <w:rsid w:val="00222B1B"/>
    <w:rsid w:val="00224C66"/>
    <w:rsid w:val="00225510"/>
    <w:rsid w:val="002259ED"/>
    <w:rsid w:val="00226746"/>
    <w:rsid w:val="002314FC"/>
    <w:rsid w:val="002333C0"/>
    <w:rsid w:val="0023421A"/>
    <w:rsid w:val="00235639"/>
    <w:rsid w:val="00236569"/>
    <w:rsid w:val="00237525"/>
    <w:rsid w:val="00240A40"/>
    <w:rsid w:val="00240C83"/>
    <w:rsid w:val="00241A29"/>
    <w:rsid w:val="00243566"/>
    <w:rsid w:val="0024527A"/>
    <w:rsid w:val="002462DB"/>
    <w:rsid w:val="0024654A"/>
    <w:rsid w:val="00246D40"/>
    <w:rsid w:val="00247967"/>
    <w:rsid w:val="00251465"/>
    <w:rsid w:val="00251E12"/>
    <w:rsid w:val="00251F99"/>
    <w:rsid w:val="00252CE7"/>
    <w:rsid w:val="0025320F"/>
    <w:rsid w:val="002558E8"/>
    <w:rsid w:val="00256E8F"/>
    <w:rsid w:val="00257918"/>
    <w:rsid w:val="0026108E"/>
    <w:rsid w:val="002612AA"/>
    <w:rsid w:val="00261489"/>
    <w:rsid w:val="0026160D"/>
    <w:rsid w:val="00261DA7"/>
    <w:rsid w:val="002637C1"/>
    <w:rsid w:val="002645C6"/>
    <w:rsid w:val="00267129"/>
    <w:rsid w:val="0027040B"/>
    <w:rsid w:val="002706F0"/>
    <w:rsid w:val="00273DAB"/>
    <w:rsid w:val="00277BF0"/>
    <w:rsid w:val="00282758"/>
    <w:rsid w:val="00283FD1"/>
    <w:rsid w:val="0028472E"/>
    <w:rsid w:val="00287EDC"/>
    <w:rsid w:val="00287FC7"/>
    <w:rsid w:val="0029040D"/>
    <w:rsid w:val="002910B8"/>
    <w:rsid w:val="00291DF1"/>
    <w:rsid w:val="00293A4F"/>
    <w:rsid w:val="0029416B"/>
    <w:rsid w:val="002941A9"/>
    <w:rsid w:val="00295222"/>
    <w:rsid w:val="002966DC"/>
    <w:rsid w:val="0029728C"/>
    <w:rsid w:val="002B0455"/>
    <w:rsid w:val="002C2F6C"/>
    <w:rsid w:val="002C46F4"/>
    <w:rsid w:val="002C675C"/>
    <w:rsid w:val="002D14BA"/>
    <w:rsid w:val="002D2CC2"/>
    <w:rsid w:val="002D439C"/>
    <w:rsid w:val="002D4723"/>
    <w:rsid w:val="002D67D7"/>
    <w:rsid w:val="002E03DC"/>
    <w:rsid w:val="002E30E9"/>
    <w:rsid w:val="002E346B"/>
    <w:rsid w:val="002E683E"/>
    <w:rsid w:val="002E7352"/>
    <w:rsid w:val="002F0AC1"/>
    <w:rsid w:val="002F22D7"/>
    <w:rsid w:val="002F41AF"/>
    <w:rsid w:val="002F6F6D"/>
    <w:rsid w:val="00300342"/>
    <w:rsid w:val="00300BDA"/>
    <w:rsid w:val="003057B5"/>
    <w:rsid w:val="00306C53"/>
    <w:rsid w:val="003075D2"/>
    <w:rsid w:val="00307C10"/>
    <w:rsid w:val="00311195"/>
    <w:rsid w:val="00311B81"/>
    <w:rsid w:val="0031202B"/>
    <w:rsid w:val="00313297"/>
    <w:rsid w:val="00314132"/>
    <w:rsid w:val="003148DE"/>
    <w:rsid w:val="00315449"/>
    <w:rsid w:val="00316426"/>
    <w:rsid w:val="00320DC9"/>
    <w:rsid w:val="00322B64"/>
    <w:rsid w:val="00326B9C"/>
    <w:rsid w:val="0032757F"/>
    <w:rsid w:val="003415CC"/>
    <w:rsid w:val="0034199F"/>
    <w:rsid w:val="00342794"/>
    <w:rsid w:val="00343053"/>
    <w:rsid w:val="003438F6"/>
    <w:rsid w:val="003456BC"/>
    <w:rsid w:val="00354489"/>
    <w:rsid w:val="00357D65"/>
    <w:rsid w:val="00367545"/>
    <w:rsid w:val="00371922"/>
    <w:rsid w:val="00371969"/>
    <w:rsid w:val="0037327D"/>
    <w:rsid w:val="00374B29"/>
    <w:rsid w:val="00375853"/>
    <w:rsid w:val="003760D5"/>
    <w:rsid w:val="00376621"/>
    <w:rsid w:val="00376FF2"/>
    <w:rsid w:val="00381061"/>
    <w:rsid w:val="00382121"/>
    <w:rsid w:val="0038315D"/>
    <w:rsid w:val="00386D25"/>
    <w:rsid w:val="003900D6"/>
    <w:rsid w:val="00390C30"/>
    <w:rsid w:val="00392511"/>
    <w:rsid w:val="003A3005"/>
    <w:rsid w:val="003A5829"/>
    <w:rsid w:val="003B2496"/>
    <w:rsid w:val="003B54E9"/>
    <w:rsid w:val="003B770A"/>
    <w:rsid w:val="003B7B44"/>
    <w:rsid w:val="003C079C"/>
    <w:rsid w:val="003C07F6"/>
    <w:rsid w:val="003C454B"/>
    <w:rsid w:val="003C5DEB"/>
    <w:rsid w:val="003C7667"/>
    <w:rsid w:val="003D0E9A"/>
    <w:rsid w:val="003D0FFA"/>
    <w:rsid w:val="003D152B"/>
    <w:rsid w:val="003D25D6"/>
    <w:rsid w:val="003D3880"/>
    <w:rsid w:val="003D5941"/>
    <w:rsid w:val="003D6879"/>
    <w:rsid w:val="003D727F"/>
    <w:rsid w:val="003D729A"/>
    <w:rsid w:val="003D73AF"/>
    <w:rsid w:val="003E02F4"/>
    <w:rsid w:val="003E0351"/>
    <w:rsid w:val="003E4598"/>
    <w:rsid w:val="003E58EB"/>
    <w:rsid w:val="003E687C"/>
    <w:rsid w:val="003F1551"/>
    <w:rsid w:val="003F5057"/>
    <w:rsid w:val="003F6E52"/>
    <w:rsid w:val="003F7FF4"/>
    <w:rsid w:val="004000CD"/>
    <w:rsid w:val="004042F3"/>
    <w:rsid w:val="00404B34"/>
    <w:rsid w:val="004078E3"/>
    <w:rsid w:val="00407D50"/>
    <w:rsid w:val="00410C6F"/>
    <w:rsid w:val="00412540"/>
    <w:rsid w:val="0041291B"/>
    <w:rsid w:val="004136C9"/>
    <w:rsid w:val="00413D3F"/>
    <w:rsid w:val="00413DFF"/>
    <w:rsid w:val="00420839"/>
    <w:rsid w:val="00424DA9"/>
    <w:rsid w:val="00425B31"/>
    <w:rsid w:val="00430509"/>
    <w:rsid w:val="0043213A"/>
    <w:rsid w:val="00433FFC"/>
    <w:rsid w:val="004354DC"/>
    <w:rsid w:val="004361A9"/>
    <w:rsid w:val="004378F3"/>
    <w:rsid w:val="00437D30"/>
    <w:rsid w:val="004430BD"/>
    <w:rsid w:val="00446CC4"/>
    <w:rsid w:val="004524C3"/>
    <w:rsid w:val="0045557C"/>
    <w:rsid w:val="004557C1"/>
    <w:rsid w:val="00455CDC"/>
    <w:rsid w:val="00461CB0"/>
    <w:rsid w:val="00462101"/>
    <w:rsid w:val="00463C91"/>
    <w:rsid w:val="00466125"/>
    <w:rsid w:val="00466593"/>
    <w:rsid w:val="004672E4"/>
    <w:rsid w:val="00474675"/>
    <w:rsid w:val="00474BCE"/>
    <w:rsid w:val="00474E60"/>
    <w:rsid w:val="00480D19"/>
    <w:rsid w:val="00484E15"/>
    <w:rsid w:val="00496965"/>
    <w:rsid w:val="004971C6"/>
    <w:rsid w:val="004A292C"/>
    <w:rsid w:val="004A2EAB"/>
    <w:rsid w:val="004A56B3"/>
    <w:rsid w:val="004A62C2"/>
    <w:rsid w:val="004A62E6"/>
    <w:rsid w:val="004A6A79"/>
    <w:rsid w:val="004B72E8"/>
    <w:rsid w:val="004C2914"/>
    <w:rsid w:val="004C30F6"/>
    <w:rsid w:val="004C3FDA"/>
    <w:rsid w:val="004C5305"/>
    <w:rsid w:val="004C6D1C"/>
    <w:rsid w:val="004D4216"/>
    <w:rsid w:val="004D74C2"/>
    <w:rsid w:val="004E0963"/>
    <w:rsid w:val="004E21DB"/>
    <w:rsid w:val="004E2574"/>
    <w:rsid w:val="004E736A"/>
    <w:rsid w:val="004E7558"/>
    <w:rsid w:val="004F14F4"/>
    <w:rsid w:val="004F1619"/>
    <w:rsid w:val="004F25A2"/>
    <w:rsid w:val="004F730C"/>
    <w:rsid w:val="00506B38"/>
    <w:rsid w:val="00506D2E"/>
    <w:rsid w:val="0051156D"/>
    <w:rsid w:val="00511E5B"/>
    <w:rsid w:val="005130A6"/>
    <w:rsid w:val="00515C47"/>
    <w:rsid w:val="005163DA"/>
    <w:rsid w:val="00517B6A"/>
    <w:rsid w:val="00520001"/>
    <w:rsid w:val="0052142B"/>
    <w:rsid w:val="00521C3B"/>
    <w:rsid w:val="0052443D"/>
    <w:rsid w:val="00530D19"/>
    <w:rsid w:val="0053390D"/>
    <w:rsid w:val="0053488F"/>
    <w:rsid w:val="00542A8E"/>
    <w:rsid w:val="00547014"/>
    <w:rsid w:val="0055484D"/>
    <w:rsid w:val="00556226"/>
    <w:rsid w:val="00556DD1"/>
    <w:rsid w:val="00557535"/>
    <w:rsid w:val="00557B21"/>
    <w:rsid w:val="0056047B"/>
    <w:rsid w:val="00560F2A"/>
    <w:rsid w:val="0056109E"/>
    <w:rsid w:val="00561885"/>
    <w:rsid w:val="00564AFA"/>
    <w:rsid w:val="005665E5"/>
    <w:rsid w:val="005670D7"/>
    <w:rsid w:val="0057641B"/>
    <w:rsid w:val="00583601"/>
    <w:rsid w:val="005846A5"/>
    <w:rsid w:val="0058678B"/>
    <w:rsid w:val="0059127A"/>
    <w:rsid w:val="00591593"/>
    <w:rsid w:val="00591EE5"/>
    <w:rsid w:val="005933D3"/>
    <w:rsid w:val="005A1A34"/>
    <w:rsid w:val="005A246D"/>
    <w:rsid w:val="005B0D31"/>
    <w:rsid w:val="005B1BEB"/>
    <w:rsid w:val="005B2697"/>
    <w:rsid w:val="005B3A39"/>
    <w:rsid w:val="005B7406"/>
    <w:rsid w:val="005B7CED"/>
    <w:rsid w:val="005C1E9A"/>
    <w:rsid w:val="005C41A4"/>
    <w:rsid w:val="005C5B56"/>
    <w:rsid w:val="005C5E13"/>
    <w:rsid w:val="005C7D89"/>
    <w:rsid w:val="005D3B8A"/>
    <w:rsid w:val="005E181B"/>
    <w:rsid w:val="005E256A"/>
    <w:rsid w:val="005E2D62"/>
    <w:rsid w:val="005E5A6E"/>
    <w:rsid w:val="005E6615"/>
    <w:rsid w:val="005E6AB9"/>
    <w:rsid w:val="005F17A3"/>
    <w:rsid w:val="005F18C6"/>
    <w:rsid w:val="005F4E85"/>
    <w:rsid w:val="00600A1C"/>
    <w:rsid w:val="0060134E"/>
    <w:rsid w:val="0060296F"/>
    <w:rsid w:val="006044C5"/>
    <w:rsid w:val="0060721F"/>
    <w:rsid w:val="006077D8"/>
    <w:rsid w:val="00607D1F"/>
    <w:rsid w:val="006107BC"/>
    <w:rsid w:val="00612DB5"/>
    <w:rsid w:val="006254E5"/>
    <w:rsid w:val="00625BFE"/>
    <w:rsid w:val="0062695B"/>
    <w:rsid w:val="00627ACB"/>
    <w:rsid w:val="00630EEF"/>
    <w:rsid w:val="00632CD5"/>
    <w:rsid w:val="00643102"/>
    <w:rsid w:val="006457DC"/>
    <w:rsid w:val="006473BF"/>
    <w:rsid w:val="00650683"/>
    <w:rsid w:val="0065534A"/>
    <w:rsid w:val="00656E54"/>
    <w:rsid w:val="00656EEC"/>
    <w:rsid w:val="00662A3C"/>
    <w:rsid w:val="006647F2"/>
    <w:rsid w:val="00667D9F"/>
    <w:rsid w:val="006704CE"/>
    <w:rsid w:val="00670A2C"/>
    <w:rsid w:val="00675E96"/>
    <w:rsid w:val="0068231F"/>
    <w:rsid w:val="00684909"/>
    <w:rsid w:val="00686F2B"/>
    <w:rsid w:val="00687469"/>
    <w:rsid w:val="00687519"/>
    <w:rsid w:val="00691A47"/>
    <w:rsid w:val="00695CAA"/>
    <w:rsid w:val="006A14E3"/>
    <w:rsid w:val="006A267D"/>
    <w:rsid w:val="006A2F35"/>
    <w:rsid w:val="006A31BC"/>
    <w:rsid w:val="006A733C"/>
    <w:rsid w:val="006B14BD"/>
    <w:rsid w:val="006B356E"/>
    <w:rsid w:val="006B4A9F"/>
    <w:rsid w:val="006B62CD"/>
    <w:rsid w:val="006B6B64"/>
    <w:rsid w:val="006B6F9F"/>
    <w:rsid w:val="006C1E8F"/>
    <w:rsid w:val="006C7510"/>
    <w:rsid w:val="006D0696"/>
    <w:rsid w:val="006D29D2"/>
    <w:rsid w:val="006D5206"/>
    <w:rsid w:val="006D64AA"/>
    <w:rsid w:val="006E0577"/>
    <w:rsid w:val="006E11D3"/>
    <w:rsid w:val="006E2097"/>
    <w:rsid w:val="006E7A7F"/>
    <w:rsid w:val="006F0CF8"/>
    <w:rsid w:val="006F1060"/>
    <w:rsid w:val="006F296F"/>
    <w:rsid w:val="006F2991"/>
    <w:rsid w:val="006F3083"/>
    <w:rsid w:val="006F5D3F"/>
    <w:rsid w:val="00701E69"/>
    <w:rsid w:val="00707FE6"/>
    <w:rsid w:val="00711B7B"/>
    <w:rsid w:val="007133A5"/>
    <w:rsid w:val="0071420D"/>
    <w:rsid w:val="00715BAB"/>
    <w:rsid w:val="007165CB"/>
    <w:rsid w:val="00717BBF"/>
    <w:rsid w:val="00722AE9"/>
    <w:rsid w:val="00722E63"/>
    <w:rsid w:val="00727810"/>
    <w:rsid w:val="007279C3"/>
    <w:rsid w:val="00732CE8"/>
    <w:rsid w:val="00734B62"/>
    <w:rsid w:val="00740606"/>
    <w:rsid w:val="007430BC"/>
    <w:rsid w:val="00744012"/>
    <w:rsid w:val="007463E6"/>
    <w:rsid w:val="00752C4B"/>
    <w:rsid w:val="00755D22"/>
    <w:rsid w:val="007602EE"/>
    <w:rsid w:val="00762FC2"/>
    <w:rsid w:val="007653DD"/>
    <w:rsid w:val="00767B14"/>
    <w:rsid w:val="007704B5"/>
    <w:rsid w:val="007714E1"/>
    <w:rsid w:val="007741ED"/>
    <w:rsid w:val="00775030"/>
    <w:rsid w:val="00775F25"/>
    <w:rsid w:val="007766B3"/>
    <w:rsid w:val="007773C7"/>
    <w:rsid w:val="00781689"/>
    <w:rsid w:val="00782534"/>
    <w:rsid w:val="007841EF"/>
    <w:rsid w:val="00784518"/>
    <w:rsid w:val="00791C3E"/>
    <w:rsid w:val="00794BF7"/>
    <w:rsid w:val="00796030"/>
    <w:rsid w:val="00796FE2"/>
    <w:rsid w:val="007976AE"/>
    <w:rsid w:val="007A3018"/>
    <w:rsid w:val="007A4008"/>
    <w:rsid w:val="007A46E5"/>
    <w:rsid w:val="007A6004"/>
    <w:rsid w:val="007B074C"/>
    <w:rsid w:val="007B0CA3"/>
    <w:rsid w:val="007B1639"/>
    <w:rsid w:val="007B1FC4"/>
    <w:rsid w:val="007C0765"/>
    <w:rsid w:val="007C0F8A"/>
    <w:rsid w:val="007C36E4"/>
    <w:rsid w:val="007C71D4"/>
    <w:rsid w:val="007D4513"/>
    <w:rsid w:val="007E06AF"/>
    <w:rsid w:val="007E24D6"/>
    <w:rsid w:val="007E5EE2"/>
    <w:rsid w:val="007E7D94"/>
    <w:rsid w:val="007F13A9"/>
    <w:rsid w:val="007F3D91"/>
    <w:rsid w:val="007F401E"/>
    <w:rsid w:val="007F42A2"/>
    <w:rsid w:val="007F4429"/>
    <w:rsid w:val="007F6AE9"/>
    <w:rsid w:val="008014EA"/>
    <w:rsid w:val="0080285B"/>
    <w:rsid w:val="008040BD"/>
    <w:rsid w:val="0081006A"/>
    <w:rsid w:val="00811417"/>
    <w:rsid w:val="008162A1"/>
    <w:rsid w:val="00816954"/>
    <w:rsid w:val="0082030E"/>
    <w:rsid w:val="00822355"/>
    <w:rsid w:val="008228C3"/>
    <w:rsid w:val="008248CB"/>
    <w:rsid w:val="00830E64"/>
    <w:rsid w:val="008324C5"/>
    <w:rsid w:val="00833D1E"/>
    <w:rsid w:val="008402C1"/>
    <w:rsid w:val="00841185"/>
    <w:rsid w:val="00850FEC"/>
    <w:rsid w:val="00851970"/>
    <w:rsid w:val="00852C34"/>
    <w:rsid w:val="00853CD7"/>
    <w:rsid w:val="008640D8"/>
    <w:rsid w:val="00871510"/>
    <w:rsid w:val="00880BC3"/>
    <w:rsid w:val="008813CF"/>
    <w:rsid w:val="0088220A"/>
    <w:rsid w:val="00885C11"/>
    <w:rsid w:val="00887B49"/>
    <w:rsid w:val="00892795"/>
    <w:rsid w:val="00896507"/>
    <w:rsid w:val="008A0CFB"/>
    <w:rsid w:val="008A11DA"/>
    <w:rsid w:val="008A7662"/>
    <w:rsid w:val="008B0993"/>
    <w:rsid w:val="008B49F6"/>
    <w:rsid w:val="008B6B17"/>
    <w:rsid w:val="008B7566"/>
    <w:rsid w:val="008B7EE6"/>
    <w:rsid w:val="008C02F6"/>
    <w:rsid w:val="008C1806"/>
    <w:rsid w:val="008C21F8"/>
    <w:rsid w:val="008C3EF2"/>
    <w:rsid w:val="008D1D6C"/>
    <w:rsid w:val="008D5060"/>
    <w:rsid w:val="008E5065"/>
    <w:rsid w:val="008E5A85"/>
    <w:rsid w:val="008E6ED1"/>
    <w:rsid w:val="008F0924"/>
    <w:rsid w:val="008F186C"/>
    <w:rsid w:val="008F334E"/>
    <w:rsid w:val="008F3A2F"/>
    <w:rsid w:val="008F5ADF"/>
    <w:rsid w:val="008F5D93"/>
    <w:rsid w:val="008F5E4B"/>
    <w:rsid w:val="008F64DB"/>
    <w:rsid w:val="00901ADB"/>
    <w:rsid w:val="009035B2"/>
    <w:rsid w:val="0090378E"/>
    <w:rsid w:val="00903A11"/>
    <w:rsid w:val="00911151"/>
    <w:rsid w:val="00911588"/>
    <w:rsid w:val="00911616"/>
    <w:rsid w:val="00912B52"/>
    <w:rsid w:val="009257D3"/>
    <w:rsid w:val="0093000E"/>
    <w:rsid w:val="009362CD"/>
    <w:rsid w:val="009362D1"/>
    <w:rsid w:val="009402B4"/>
    <w:rsid w:val="00944144"/>
    <w:rsid w:val="00951534"/>
    <w:rsid w:val="00960113"/>
    <w:rsid w:val="0096157A"/>
    <w:rsid w:val="00963D08"/>
    <w:rsid w:val="009640F7"/>
    <w:rsid w:val="00964802"/>
    <w:rsid w:val="009649D2"/>
    <w:rsid w:val="009666C2"/>
    <w:rsid w:val="00971341"/>
    <w:rsid w:val="009728F1"/>
    <w:rsid w:val="00973CC0"/>
    <w:rsid w:val="00976E82"/>
    <w:rsid w:val="0097703A"/>
    <w:rsid w:val="00980872"/>
    <w:rsid w:val="009832E7"/>
    <w:rsid w:val="009838CE"/>
    <w:rsid w:val="00984F11"/>
    <w:rsid w:val="00986FA3"/>
    <w:rsid w:val="00987FE1"/>
    <w:rsid w:val="0099135E"/>
    <w:rsid w:val="00992796"/>
    <w:rsid w:val="00992D72"/>
    <w:rsid w:val="00992F11"/>
    <w:rsid w:val="00992F89"/>
    <w:rsid w:val="00996446"/>
    <w:rsid w:val="00997556"/>
    <w:rsid w:val="00997F65"/>
    <w:rsid w:val="009A1C91"/>
    <w:rsid w:val="009A2CBB"/>
    <w:rsid w:val="009A492E"/>
    <w:rsid w:val="009A4C6B"/>
    <w:rsid w:val="009A5CC5"/>
    <w:rsid w:val="009A6340"/>
    <w:rsid w:val="009A787B"/>
    <w:rsid w:val="009B03FB"/>
    <w:rsid w:val="009B0DD8"/>
    <w:rsid w:val="009B1903"/>
    <w:rsid w:val="009B42B7"/>
    <w:rsid w:val="009B4A66"/>
    <w:rsid w:val="009B5D8B"/>
    <w:rsid w:val="009B7256"/>
    <w:rsid w:val="009B7465"/>
    <w:rsid w:val="009C2175"/>
    <w:rsid w:val="009C531D"/>
    <w:rsid w:val="009C66B8"/>
    <w:rsid w:val="009C6DAB"/>
    <w:rsid w:val="009D0978"/>
    <w:rsid w:val="009D15AC"/>
    <w:rsid w:val="009D2D14"/>
    <w:rsid w:val="009D592D"/>
    <w:rsid w:val="009D6115"/>
    <w:rsid w:val="009D6693"/>
    <w:rsid w:val="009E3F29"/>
    <w:rsid w:val="009E47FB"/>
    <w:rsid w:val="009E5CEA"/>
    <w:rsid w:val="009E656C"/>
    <w:rsid w:val="009E7B4D"/>
    <w:rsid w:val="009F06E8"/>
    <w:rsid w:val="009F4340"/>
    <w:rsid w:val="009F5DC5"/>
    <w:rsid w:val="009F642C"/>
    <w:rsid w:val="009F644C"/>
    <w:rsid w:val="00A00C4B"/>
    <w:rsid w:val="00A02349"/>
    <w:rsid w:val="00A05327"/>
    <w:rsid w:val="00A131CE"/>
    <w:rsid w:val="00A14063"/>
    <w:rsid w:val="00A16004"/>
    <w:rsid w:val="00A16C42"/>
    <w:rsid w:val="00A1712E"/>
    <w:rsid w:val="00A244C1"/>
    <w:rsid w:val="00A25C55"/>
    <w:rsid w:val="00A26BCA"/>
    <w:rsid w:val="00A26F95"/>
    <w:rsid w:val="00A2712A"/>
    <w:rsid w:val="00A27469"/>
    <w:rsid w:val="00A31CF9"/>
    <w:rsid w:val="00A32490"/>
    <w:rsid w:val="00A342B0"/>
    <w:rsid w:val="00A34DD7"/>
    <w:rsid w:val="00A3540B"/>
    <w:rsid w:val="00A364D5"/>
    <w:rsid w:val="00A370ED"/>
    <w:rsid w:val="00A43469"/>
    <w:rsid w:val="00A4411C"/>
    <w:rsid w:val="00A454F2"/>
    <w:rsid w:val="00A45E6E"/>
    <w:rsid w:val="00A46E26"/>
    <w:rsid w:val="00A5135B"/>
    <w:rsid w:val="00A51A5F"/>
    <w:rsid w:val="00A51B69"/>
    <w:rsid w:val="00A533D2"/>
    <w:rsid w:val="00A54247"/>
    <w:rsid w:val="00A6237D"/>
    <w:rsid w:val="00A6240A"/>
    <w:rsid w:val="00A63949"/>
    <w:rsid w:val="00A63F38"/>
    <w:rsid w:val="00A6421E"/>
    <w:rsid w:val="00A643C0"/>
    <w:rsid w:val="00A649C6"/>
    <w:rsid w:val="00A65318"/>
    <w:rsid w:val="00A65F8E"/>
    <w:rsid w:val="00A665CE"/>
    <w:rsid w:val="00A67095"/>
    <w:rsid w:val="00A674FA"/>
    <w:rsid w:val="00A7212B"/>
    <w:rsid w:val="00A7282B"/>
    <w:rsid w:val="00A7627D"/>
    <w:rsid w:val="00A77D9B"/>
    <w:rsid w:val="00A8150E"/>
    <w:rsid w:val="00A8151E"/>
    <w:rsid w:val="00A8200B"/>
    <w:rsid w:val="00A83E15"/>
    <w:rsid w:val="00A84653"/>
    <w:rsid w:val="00A871BD"/>
    <w:rsid w:val="00A904FE"/>
    <w:rsid w:val="00A920F9"/>
    <w:rsid w:val="00A94443"/>
    <w:rsid w:val="00A9464C"/>
    <w:rsid w:val="00A96101"/>
    <w:rsid w:val="00A97C4F"/>
    <w:rsid w:val="00AA1CD3"/>
    <w:rsid w:val="00AA2420"/>
    <w:rsid w:val="00AA6842"/>
    <w:rsid w:val="00AA7736"/>
    <w:rsid w:val="00AB0AF9"/>
    <w:rsid w:val="00AB1834"/>
    <w:rsid w:val="00AB21CA"/>
    <w:rsid w:val="00AB2516"/>
    <w:rsid w:val="00AB4632"/>
    <w:rsid w:val="00AB575E"/>
    <w:rsid w:val="00AB6C44"/>
    <w:rsid w:val="00AB6C47"/>
    <w:rsid w:val="00AB6C5C"/>
    <w:rsid w:val="00AC03BC"/>
    <w:rsid w:val="00AC4455"/>
    <w:rsid w:val="00AC4620"/>
    <w:rsid w:val="00AC5AD4"/>
    <w:rsid w:val="00AC6E12"/>
    <w:rsid w:val="00AC6FA1"/>
    <w:rsid w:val="00AC79FB"/>
    <w:rsid w:val="00AD2A34"/>
    <w:rsid w:val="00AD41C1"/>
    <w:rsid w:val="00AD4564"/>
    <w:rsid w:val="00AD5390"/>
    <w:rsid w:val="00AD5FE6"/>
    <w:rsid w:val="00AD61B4"/>
    <w:rsid w:val="00AD689E"/>
    <w:rsid w:val="00AD715E"/>
    <w:rsid w:val="00AE437E"/>
    <w:rsid w:val="00AE55B3"/>
    <w:rsid w:val="00AE66F2"/>
    <w:rsid w:val="00AE7A3A"/>
    <w:rsid w:val="00AF030B"/>
    <w:rsid w:val="00AF0F60"/>
    <w:rsid w:val="00AF1345"/>
    <w:rsid w:val="00AF13A1"/>
    <w:rsid w:val="00AF2CC1"/>
    <w:rsid w:val="00B00B6F"/>
    <w:rsid w:val="00B0259F"/>
    <w:rsid w:val="00B1040D"/>
    <w:rsid w:val="00B11416"/>
    <w:rsid w:val="00B13977"/>
    <w:rsid w:val="00B210E6"/>
    <w:rsid w:val="00B255C3"/>
    <w:rsid w:val="00B27B17"/>
    <w:rsid w:val="00B301A7"/>
    <w:rsid w:val="00B33EE3"/>
    <w:rsid w:val="00B3465A"/>
    <w:rsid w:val="00B3510F"/>
    <w:rsid w:val="00B3539A"/>
    <w:rsid w:val="00B35587"/>
    <w:rsid w:val="00B371F9"/>
    <w:rsid w:val="00B403C1"/>
    <w:rsid w:val="00B42A76"/>
    <w:rsid w:val="00B44157"/>
    <w:rsid w:val="00B50716"/>
    <w:rsid w:val="00B56B53"/>
    <w:rsid w:val="00B574BA"/>
    <w:rsid w:val="00B57E29"/>
    <w:rsid w:val="00B63040"/>
    <w:rsid w:val="00B635AF"/>
    <w:rsid w:val="00B63DF7"/>
    <w:rsid w:val="00B64B9F"/>
    <w:rsid w:val="00B669A1"/>
    <w:rsid w:val="00B7136D"/>
    <w:rsid w:val="00B72299"/>
    <w:rsid w:val="00B72910"/>
    <w:rsid w:val="00B74E57"/>
    <w:rsid w:val="00B7504B"/>
    <w:rsid w:val="00B81C91"/>
    <w:rsid w:val="00B85ABC"/>
    <w:rsid w:val="00B87329"/>
    <w:rsid w:val="00B91F3B"/>
    <w:rsid w:val="00B92498"/>
    <w:rsid w:val="00B95871"/>
    <w:rsid w:val="00B965AA"/>
    <w:rsid w:val="00B9728F"/>
    <w:rsid w:val="00BA6A1A"/>
    <w:rsid w:val="00BB1774"/>
    <w:rsid w:val="00BB24A0"/>
    <w:rsid w:val="00BB2573"/>
    <w:rsid w:val="00BB5F6D"/>
    <w:rsid w:val="00BB71F3"/>
    <w:rsid w:val="00BB7312"/>
    <w:rsid w:val="00BB76C4"/>
    <w:rsid w:val="00BC0D2A"/>
    <w:rsid w:val="00BC0E45"/>
    <w:rsid w:val="00BC29EA"/>
    <w:rsid w:val="00BC2A6C"/>
    <w:rsid w:val="00BC2DDA"/>
    <w:rsid w:val="00BC2EA2"/>
    <w:rsid w:val="00BC366D"/>
    <w:rsid w:val="00BC784F"/>
    <w:rsid w:val="00BD03F6"/>
    <w:rsid w:val="00BD0503"/>
    <w:rsid w:val="00BD1FDF"/>
    <w:rsid w:val="00BD61BB"/>
    <w:rsid w:val="00BD639F"/>
    <w:rsid w:val="00BE07D8"/>
    <w:rsid w:val="00BE2C23"/>
    <w:rsid w:val="00BF25CE"/>
    <w:rsid w:val="00BF433B"/>
    <w:rsid w:val="00BF7F4C"/>
    <w:rsid w:val="00C00BEB"/>
    <w:rsid w:val="00C00F23"/>
    <w:rsid w:val="00C11469"/>
    <w:rsid w:val="00C11D0F"/>
    <w:rsid w:val="00C12BE1"/>
    <w:rsid w:val="00C146CC"/>
    <w:rsid w:val="00C17AD6"/>
    <w:rsid w:val="00C202BF"/>
    <w:rsid w:val="00C31764"/>
    <w:rsid w:val="00C338A6"/>
    <w:rsid w:val="00C36951"/>
    <w:rsid w:val="00C37828"/>
    <w:rsid w:val="00C37F9F"/>
    <w:rsid w:val="00C41380"/>
    <w:rsid w:val="00C41FAD"/>
    <w:rsid w:val="00C43F19"/>
    <w:rsid w:val="00C458CF"/>
    <w:rsid w:val="00C45DAA"/>
    <w:rsid w:val="00C45E8F"/>
    <w:rsid w:val="00C47E30"/>
    <w:rsid w:val="00C54FEA"/>
    <w:rsid w:val="00C56705"/>
    <w:rsid w:val="00C60FB3"/>
    <w:rsid w:val="00C616A3"/>
    <w:rsid w:val="00C6187F"/>
    <w:rsid w:val="00C65213"/>
    <w:rsid w:val="00C65E9F"/>
    <w:rsid w:val="00C660C0"/>
    <w:rsid w:val="00C663C2"/>
    <w:rsid w:val="00C67272"/>
    <w:rsid w:val="00C7054A"/>
    <w:rsid w:val="00C735EE"/>
    <w:rsid w:val="00C76BE6"/>
    <w:rsid w:val="00C771A6"/>
    <w:rsid w:val="00C9042F"/>
    <w:rsid w:val="00C933F4"/>
    <w:rsid w:val="00C952CC"/>
    <w:rsid w:val="00CA0E74"/>
    <w:rsid w:val="00CA193A"/>
    <w:rsid w:val="00CA623A"/>
    <w:rsid w:val="00CB17E7"/>
    <w:rsid w:val="00CB31A2"/>
    <w:rsid w:val="00CB39A1"/>
    <w:rsid w:val="00CB424E"/>
    <w:rsid w:val="00CB500E"/>
    <w:rsid w:val="00CB6158"/>
    <w:rsid w:val="00CB7450"/>
    <w:rsid w:val="00CB75E7"/>
    <w:rsid w:val="00CC410F"/>
    <w:rsid w:val="00CC6906"/>
    <w:rsid w:val="00CC7DDC"/>
    <w:rsid w:val="00CD3223"/>
    <w:rsid w:val="00CD3A7E"/>
    <w:rsid w:val="00CD44AD"/>
    <w:rsid w:val="00CD5E08"/>
    <w:rsid w:val="00CD61DC"/>
    <w:rsid w:val="00CD7727"/>
    <w:rsid w:val="00CE1BB5"/>
    <w:rsid w:val="00CE26F1"/>
    <w:rsid w:val="00CE29CA"/>
    <w:rsid w:val="00CE2AD9"/>
    <w:rsid w:val="00CE3BA8"/>
    <w:rsid w:val="00CE5F55"/>
    <w:rsid w:val="00CE6446"/>
    <w:rsid w:val="00CF08D9"/>
    <w:rsid w:val="00CF15DC"/>
    <w:rsid w:val="00CF1AEC"/>
    <w:rsid w:val="00CF2C3F"/>
    <w:rsid w:val="00CF55F8"/>
    <w:rsid w:val="00CF5764"/>
    <w:rsid w:val="00CF62B5"/>
    <w:rsid w:val="00CF6971"/>
    <w:rsid w:val="00CF75CC"/>
    <w:rsid w:val="00CF788C"/>
    <w:rsid w:val="00CF7BE0"/>
    <w:rsid w:val="00D009A7"/>
    <w:rsid w:val="00D032BE"/>
    <w:rsid w:val="00D039DB"/>
    <w:rsid w:val="00D0445E"/>
    <w:rsid w:val="00D117F0"/>
    <w:rsid w:val="00D11A61"/>
    <w:rsid w:val="00D13760"/>
    <w:rsid w:val="00D13928"/>
    <w:rsid w:val="00D144E6"/>
    <w:rsid w:val="00D14B5D"/>
    <w:rsid w:val="00D15AC0"/>
    <w:rsid w:val="00D15D8F"/>
    <w:rsid w:val="00D16C4C"/>
    <w:rsid w:val="00D209FC"/>
    <w:rsid w:val="00D224D8"/>
    <w:rsid w:val="00D230CF"/>
    <w:rsid w:val="00D23301"/>
    <w:rsid w:val="00D24AF4"/>
    <w:rsid w:val="00D317B1"/>
    <w:rsid w:val="00D359AB"/>
    <w:rsid w:val="00D36D41"/>
    <w:rsid w:val="00D37FF9"/>
    <w:rsid w:val="00D43156"/>
    <w:rsid w:val="00D44670"/>
    <w:rsid w:val="00D44E9A"/>
    <w:rsid w:val="00D45C82"/>
    <w:rsid w:val="00D45CD6"/>
    <w:rsid w:val="00D4671F"/>
    <w:rsid w:val="00D507AA"/>
    <w:rsid w:val="00D55B1C"/>
    <w:rsid w:val="00D57D70"/>
    <w:rsid w:val="00D6006F"/>
    <w:rsid w:val="00D603BA"/>
    <w:rsid w:val="00D60B9C"/>
    <w:rsid w:val="00D66188"/>
    <w:rsid w:val="00D66BC7"/>
    <w:rsid w:val="00D708F0"/>
    <w:rsid w:val="00D725AF"/>
    <w:rsid w:val="00D736DF"/>
    <w:rsid w:val="00D7745D"/>
    <w:rsid w:val="00D840FF"/>
    <w:rsid w:val="00D84C1A"/>
    <w:rsid w:val="00D860BB"/>
    <w:rsid w:val="00D86E18"/>
    <w:rsid w:val="00D91628"/>
    <w:rsid w:val="00D91F01"/>
    <w:rsid w:val="00D94D1D"/>
    <w:rsid w:val="00D9704D"/>
    <w:rsid w:val="00DA3B37"/>
    <w:rsid w:val="00DA74AD"/>
    <w:rsid w:val="00DB10BA"/>
    <w:rsid w:val="00DB1299"/>
    <w:rsid w:val="00DB1788"/>
    <w:rsid w:val="00DB1D8D"/>
    <w:rsid w:val="00DB1E6F"/>
    <w:rsid w:val="00DB1EF0"/>
    <w:rsid w:val="00DB3A75"/>
    <w:rsid w:val="00DB42F9"/>
    <w:rsid w:val="00DB717A"/>
    <w:rsid w:val="00DC1DC5"/>
    <w:rsid w:val="00DC38ED"/>
    <w:rsid w:val="00DC4DCB"/>
    <w:rsid w:val="00DC6D26"/>
    <w:rsid w:val="00DD6CFC"/>
    <w:rsid w:val="00DD7C4E"/>
    <w:rsid w:val="00DE1FD9"/>
    <w:rsid w:val="00DE5A16"/>
    <w:rsid w:val="00DE6A2E"/>
    <w:rsid w:val="00DE6EE3"/>
    <w:rsid w:val="00DF149D"/>
    <w:rsid w:val="00DF2BD3"/>
    <w:rsid w:val="00E02D68"/>
    <w:rsid w:val="00E103FE"/>
    <w:rsid w:val="00E12E70"/>
    <w:rsid w:val="00E1690C"/>
    <w:rsid w:val="00E16ED4"/>
    <w:rsid w:val="00E204D6"/>
    <w:rsid w:val="00E25F84"/>
    <w:rsid w:val="00E27B2C"/>
    <w:rsid w:val="00E30070"/>
    <w:rsid w:val="00E33ABB"/>
    <w:rsid w:val="00E340F8"/>
    <w:rsid w:val="00E34F35"/>
    <w:rsid w:val="00E4003B"/>
    <w:rsid w:val="00E40513"/>
    <w:rsid w:val="00E4192F"/>
    <w:rsid w:val="00E439FC"/>
    <w:rsid w:val="00E45AE7"/>
    <w:rsid w:val="00E5221F"/>
    <w:rsid w:val="00E534AA"/>
    <w:rsid w:val="00E54252"/>
    <w:rsid w:val="00E62253"/>
    <w:rsid w:val="00E6394A"/>
    <w:rsid w:val="00E656CF"/>
    <w:rsid w:val="00E65B04"/>
    <w:rsid w:val="00E72123"/>
    <w:rsid w:val="00E75800"/>
    <w:rsid w:val="00E75932"/>
    <w:rsid w:val="00E801EE"/>
    <w:rsid w:val="00E81A16"/>
    <w:rsid w:val="00E82E2F"/>
    <w:rsid w:val="00E83362"/>
    <w:rsid w:val="00E83572"/>
    <w:rsid w:val="00E95065"/>
    <w:rsid w:val="00E95B18"/>
    <w:rsid w:val="00E96AF0"/>
    <w:rsid w:val="00EA186D"/>
    <w:rsid w:val="00EA42C5"/>
    <w:rsid w:val="00EA5757"/>
    <w:rsid w:val="00EB1725"/>
    <w:rsid w:val="00EB456A"/>
    <w:rsid w:val="00EC2EE6"/>
    <w:rsid w:val="00EC3209"/>
    <w:rsid w:val="00EC669C"/>
    <w:rsid w:val="00EC7C75"/>
    <w:rsid w:val="00ED1F73"/>
    <w:rsid w:val="00ED63A2"/>
    <w:rsid w:val="00ED63D6"/>
    <w:rsid w:val="00ED6A4C"/>
    <w:rsid w:val="00EE0AC5"/>
    <w:rsid w:val="00EE36B0"/>
    <w:rsid w:val="00EE5EC4"/>
    <w:rsid w:val="00EF4A4E"/>
    <w:rsid w:val="00EF695F"/>
    <w:rsid w:val="00F012A6"/>
    <w:rsid w:val="00F03198"/>
    <w:rsid w:val="00F03906"/>
    <w:rsid w:val="00F05A00"/>
    <w:rsid w:val="00F06495"/>
    <w:rsid w:val="00F06871"/>
    <w:rsid w:val="00F07287"/>
    <w:rsid w:val="00F104F6"/>
    <w:rsid w:val="00F10D97"/>
    <w:rsid w:val="00F13CEE"/>
    <w:rsid w:val="00F1532A"/>
    <w:rsid w:val="00F2102C"/>
    <w:rsid w:val="00F2305C"/>
    <w:rsid w:val="00F27294"/>
    <w:rsid w:val="00F27301"/>
    <w:rsid w:val="00F374CF"/>
    <w:rsid w:val="00F412F9"/>
    <w:rsid w:val="00F4375C"/>
    <w:rsid w:val="00F47A71"/>
    <w:rsid w:val="00F47F2A"/>
    <w:rsid w:val="00F502F9"/>
    <w:rsid w:val="00F513BE"/>
    <w:rsid w:val="00F5274E"/>
    <w:rsid w:val="00F54D9C"/>
    <w:rsid w:val="00F60032"/>
    <w:rsid w:val="00F6142D"/>
    <w:rsid w:val="00F61C2F"/>
    <w:rsid w:val="00F61F35"/>
    <w:rsid w:val="00F67414"/>
    <w:rsid w:val="00F67763"/>
    <w:rsid w:val="00F71311"/>
    <w:rsid w:val="00F72E14"/>
    <w:rsid w:val="00F753A7"/>
    <w:rsid w:val="00F75AF6"/>
    <w:rsid w:val="00F809A8"/>
    <w:rsid w:val="00F80AD1"/>
    <w:rsid w:val="00F83638"/>
    <w:rsid w:val="00F85531"/>
    <w:rsid w:val="00F8563C"/>
    <w:rsid w:val="00F85BA7"/>
    <w:rsid w:val="00F9335E"/>
    <w:rsid w:val="00F93500"/>
    <w:rsid w:val="00F93BE1"/>
    <w:rsid w:val="00F96B0D"/>
    <w:rsid w:val="00F97E16"/>
    <w:rsid w:val="00FA08AC"/>
    <w:rsid w:val="00FA2E0B"/>
    <w:rsid w:val="00FA79DD"/>
    <w:rsid w:val="00FB1C56"/>
    <w:rsid w:val="00FB4B70"/>
    <w:rsid w:val="00FB707A"/>
    <w:rsid w:val="00FB7B61"/>
    <w:rsid w:val="00FC498E"/>
    <w:rsid w:val="00FC6389"/>
    <w:rsid w:val="00FC7FAB"/>
    <w:rsid w:val="00FD0020"/>
    <w:rsid w:val="00FD0346"/>
    <w:rsid w:val="00FD270A"/>
    <w:rsid w:val="00FD4EA7"/>
    <w:rsid w:val="00FD535E"/>
    <w:rsid w:val="00FD64FC"/>
    <w:rsid w:val="00FD671C"/>
    <w:rsid w:val="00FD782C"/>
    <w:rsid w:val="00FE06AC"/>
    <w:rsid w:val="00FE12F6"/>
    <w:rsid w:val="00FE4263"/>
    <w:rsid w:val="00FE4AC9"/>
    <w:rsid w:val="00FE579B"/>
    <w:rsid w:val="00FF00CD"/>
    <w:rsid w:val="00FF18C7"/>
    <w:rsid w:val="00FF42E8"/>
    <w:rsid w:val="00FF49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FC39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C41380"/>
    <w:rPr>
      <w:lang w:val="en-AU"/>
    </w:rPr>
  </w:style>
  <w:style w:type="paragraph" w:styleId="Heading1">
    <w:name w:val="heading 1"/>
    <w:basedOn w:val="Normal"/>
    <w:next w:val="Normal"/>
    <w:link w:val="Heading1Char"/>
    <w:uiPriority w:val="9"/>
    <w:rsid w:val="001220E4"/>
    <w:pPr>
      <w:spacing w:before="1440" w:after="200" w:line="288" w:lineRule="auto"/>
      <w:outlineLvl w:val="0"/>
    </w:pPr>
    <w:rPr>
      <w:rFonts w:ascii="Arial" w:eastAsiaTheme="minorEastAsia" w:hAnsi="Arial" w:cs="Arial"/>
      <w:b/>
      <w:color w:val="FFFFFF" w:themeColor="background1"/>
      <w:sz w:val="96"/>
      <w:szCs w:val="96"/>
      <w:lang w:val="en-US" w:eastAsia="ja-JP"/>
    </w:rPr>
  </w:style>
  <w:style w:type="paragraph" w:styleId="Heading2">
    <w:name w:val="heading 2"/>
    <w:basedOn w:val="Normal"/>
    <w:next w:val="Normal"/>
    <w:link w:val="Heading2Char"/>
    <w:uiPriority w:val="9"/>
    <w:semiHidden/>
    <w:unhideWhenUsed/>
    <w:rsid w:val="00C4138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B63DF7"/>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1380"/>
    <w:pPr>
      <w:tabs>
        <w:tab w:val="center" w:pos="4513"/>
        <w:tab w:val="right" w:pos="9026"/>
      </w:tabs>
    </w:pPr>
  </w:style>
  <w:style w:type="character" w:customStyle="1" w:styleId="HeaderChar">
    <w:name w:val="Header Char"/>
    <w:basedOn w:val="DefaultParagraphFont"/>
    <w:link w:val="Header"/>
    <w:uiPriority w:val="99"/>
    <w:rsid w:val="00C41380"/>
    <w:rPr>
      <w:lang w:val="en-US"/>
    </w:rPr>
  </w:style>
  <w:style w:type="paragraph" w:styleId="Footer">
    <w:name w:val="footer"/>
    <w:basedOn w:val="Normal"/>
    <w:link w:val="FooterChar"/>
    <w:unhideWhenUsed/>
    <w:rsid w:val="00C41380"/>
    <w:pPr>
      <w:tabs>
        <w:tab w:val="center" w:pos="4513"/>
        <w:tab w:val="right" w:pos="9026"/>
      </w:tabs>
    </w:pPr>
  </w:style>
  <w:style w:type="character" w:customStyle="1" w:styleId="FooterChar">
    <w:name w:val="Footer Char"/>
    <w:basedOn w:val="DefaultParagraphFont"/>
    <w:link w:val="Footer"/>
    <w:rsid w:val="00C41380"/>
    <w:rPr>
      <w:lang w:val="en-US"/>
    </w:rPr>
  </w:style>
  <w:style w:type="character" w:styleId="PageNumber">
    <w:name w:val="page number"/>
    <w:basedOn w:val="DefaultParagraphFont"/>
    <w:unhideWhenUsed/>
    <w:rsid w:val="00C41380"/>
  </w:style>
  <w:style w:type="paragraph" w:customStyle="1" w:styleId="mpcheading1">
    <w:name w:val="mpc heading 1"/>
    <w:qFormat/>
    <w:rsid w:val="00F61F35"/>
    <w:pPr>
      <w:pBdr>
        <w:bottom w:val="single" w:sz="12" w:space="1" w:color="auto"/>
      </w:pBdr>
      <w:spacing w:after="240"/>
      <w:outlineLvl w:val="0"/>
    </w:pPr>
    <w:rPr>
      <w:b/>
      <w:sz w:val="36"/>
      <w:szCs w:val="36"/>
      <w:lang w:val="en-AU"/>
    </w:rPr>
  </w:style>
  <w:style w:type="paragraph" w:customStyle="1" w:styleId="mpcheading2">
    <w:name w:val="mpc heading 2"/>
    <w:qFormat/>
    <w:rsid w:val="00F61F35"/>
    <w:pPr>
      <w:pBdr>
        <w:top w:val="single" w:sz="4" w:space="1" w:color="auto"/>
        <w:left w:val="single" w:sz="4" w:space="4" w:color="auto"/>
        <w:bottom w:val="single" w:sz="4" w:space="1" w:color="auto"/>
        <w:right w:val="single" w:sz="4" w:space="4" w:color="auto"/>
      </w:pBdr>
      <w:shd w:val="clear" w:color="auto" w:fill="4CB99B"/>
      <w:spacing w:after="240"/>
    </w:pPr>
    <w:rPr>
      <w:rFonts w:eastAsia="Cambria" w:cs="Times New Roman"/>
      <w:b/>
      <w:bCs/>
      <w:iCs/>
      <w:color w:val="FFFFFF"/>
      <w:sz w:val="28"/>
      <w:szCs w:val="28"/>
      <w:lang w:val="en-AU"/>
    </w:rPr>
  </w:style>
  <w:style w:type="paragraph" w:customStyle="1" w:styleId="mpcbullets1">
    <w:name w:val="mpc bullets 1"/>
    <w:qFormat/>
    <w:rsid w:val="00247967"/>
    <w:pPr>
      <w:numPr>
        <w:numId w:val="1"/>
      </w:numPr>
    </w:pPr>
    <w:rPr>
      <w:lang w:val="en-AU"/>
    </w:rPr>
  </w:style>
  <w:style w:type="paragraph" w:customStyle="1" w:styleId="mpcbullets2">
    <w:name w:val="mpc bullets 2"/>
    <w:qFormat/>
    <w:rsid w:val="00247967"/>
    <w:pPr>
      <w:numPr>
        <w:numId w:val="4"/>
      </w:numPr>
    </w:pPr>
    <w:rPr>
      <w:lang w:val="en-AU"/>
    </w:rPr>
  </w:style>
  <w:style w:type="paragraph" w:customStyle="1" w:styleId="mpcbullets3">
    <w:name w:val="mpc bullets 3"/>
    <w:qFormat/>
    <w:rsid w:val="00247967"/>
    <w:pPr>
      <w:numPr>
        <w:numId w:val="3"/>
      </w:numPr>
    </w:pPr>
    <w:rPr>
      <w:lang w:val="en-AU"/>
    </w:rPr>
  </w:style>
  <w:style w:type="paragraph" w:customStyle="1" w:styleId="mpcnumberedlist1">
    <w:name w:val="mpc numbered list 1"/>
    <w:qFormat/>
    <w:rsid w:val="00247967"/>
    <w:pPr>
      <w:numPr>
        <w:numId w:val="2"/>
      </w:numPr>
    </w:pPr>
    <w:rPr>
      <w:rFonts w:cs="Verdana"/>
      <w:lang w:val="en-AU"/>
    </w:rPr>
  </w:style>
  <w:style w:type="paragraph" w:customStyle="1" w:styleId="mpcNormal">
    <w:name w:val="mpc Normal"/>
    <w:qFormat/>
    <w:rsid w:val="00591593"/>
    <w:pPr>
      <w:spacing w:after="240"/>
    </w:pPr>
    <w:rPr>
      <w:lang w:val="en-AU"/>
    </w:rPr>
  </w:style>
  <w:style w:type="paragraph" w:customStyle="1" w:styleId="mpcheading3">
    <w:name w:val="mpc heading 3"/>
    <w:qFormat/>
    <w:rsid w:val="00F61F35"/>
    <w:pPr>
      <w:pBdr>
        <w:top w:val="single" w:sz="4" w:space="1" w:color="auto"/>
        <w:left w:val="single" w:sz="4" w:space="4" w:color="auto"/>
        <w:bottom w:val="single" w:sz="4" w:space="1" w:color="auto"/>
        <w:right w:val="single" w:sz="4" w:space="4" w:color="auto"/>
      </w:pBdr>
      <w:spacing w:after="240"/>
    </w:pPr>
    <w:rPr>
      <w:b/>
      <w:bCs/>
      <w:iCs/>
      <w:sz w:val="28"/>
      <w:szCs w:val="28"/>
      <w:lang w:val="en-AU"/>
    </w:rPr>
  </w:style>
  <w:style w:type="paragraph" w:customStyle="1" w:styleId="mpcheading4">
    <w:name w:val="mpc heading 4"/>
    <w:basedOn w:val="Normal"/>
    <w:qFormat/>
    <w:rsid w:val="00F61F35"/>
    <w:pPr>
      <w:spacing w:after="240"/>
    </w:pPr>
    <w:rPr>
      <w:b/>
    </w:rPr>
  </w:style>
  <w:style w:type="paragraph" w:styleId="TOC1">
    <w:name w:val="toc 1"/>
    <w:basedOn w:val="Normal"/>
    <w:next w:val="Normal"/>
    <w:autoRedefine/>
    <w:uiPriority w:val="39"/>
    <w:unhideWhenUsed/>
    <w:rsid w:val="00C41380"/>
    <w:pPr>
      <w:spacing w:before="120"/>
    </w:pPr>
    <w:rPr>
      <w:b/>
      <w:bCs/>
    </w:rPr>
  </w:style>
  <w:style w:type="paragraph" w:styleId="TOC2">
    <w:name w:val="toc 2"/>
    <w:basedOn w:val="Normal"/>
    <w:next w:val="Normal"/>
    <w:autoRedefine/>
    <w:uiPriority w:val="39"/>
    <w:unhideWhenUsed/>
    <w:rsid w:val="005F18C6"/>
    <w:pPr>
      <w:tabs>
        <w:tab w:val="right" w:leader="dot" w:pos="9736"/>
      </w:tabs>
      <w:ind w:left="240"/>
    </w:pPr>
    <w:rPr>
      <w:b/>
      <w:bCs/>
      <w:sz w:val="22"/>
      <w:szCs w:val="22"/>
    </w:rPr>
  </w:style>
  <w:style w:type="paragraph" w:styleId="TOC3">
    <w:name w:val="toc 3"/>
    <w:basedOn w:val="Normal"/>
    <w:next w:val="Normal"/>
    <w:autoRedefine/>
    <w:uiPriority w:val="39"/>
    <w:unhideWhenUsed/>
    <w:rsid w:val="00C41380"/>
    <w:pPr>
      <w:ind w:left="480"/>
    </w:pPr>
    <w:rPr>
      <w:sz w:val="22"/>
      <w:szCs w:val="22"/>
    </w:rPr>
  </w:style>
  <w:style w:type="paragraph" w:customStyle="1" w:styleId="mpcheading5">
    <w:name w:val="mpc heading 5"/>
    <w:basedOn w:val="Normal"/>
    <w:qFormat/>
    <w:rsid w:val="00F61F35"/>
    <w:pPr>
      <w:spacing w:after="240"/>
    </w:pPr>
    <w:rPr>
      <w:i/>
      <w:u w:val="single"/>
    </w:rPr>
  </w:style>
  <w:style w:type="paragraph" w:styleId="ListParagraph">
    <w:name w:val="List Paragraph"/>
    <w:aliases w:val="Recommendation,List Paragraph1,List Paragraph11,L,#List Paragraph,Bullet Level 1,Bullet Point,Bullet point,Bulletr List Paragraph,Content descriptions,FooterText,List Bullet 1,List Paragraph2,List Paragraph21,Listeafsnit1,リスト段落"/>
    <w:basedOn w:val="Normal"/>
    <w:link w:val="ListParagraphChar"/>
    <w:uiPriority w:val="34"/>
    <w:qFormat/>
    <w:rsid w:val="00C41380"/>
    <w:pPr>
      <w:ind w:left="720"/>
      <w:contextualSpacing/>
    </w:pPr>
  </w:style>
  <w:style w:type="character" w:customStyle="1" w:styleId="Heading2Char">
    <w:name w:val="Heading 2 Char"/>
    <w:basedOn w:val="DefaultParagraphFont"/>
    <w:link w:val="Heading2"/>
    <w:uiPriority w:val="9"/>
    <w:semiHidden/>
    <w:rsid w:val="00C41380"/>
    <w:rPr>
      <w:rFonts w:asciiTheme="majorHAnsi" w:eastAsiaTheme="majorEastAsia" w:hAnsiTheme="majorHAnsi" w:cstheme="majorBidi"/>
      <w:color w:val="2F5496" w:themeColor="accent1" w:themeShade="BF"/>
      <w:sz w:val="26"/>
      <w:szCs w:val="26"/>
      <w:lang w:val="en-US"/>
    </w:rPr>
  </w:style>
  <w:style w:type="character" w:customStyle="1" w:styleId="Heading1Char">
    <w:name w:val="Heading 1 Char"/>
    <w:basedOn w:val="DefaultParagraphFont"/>
    <w:link w:val="Heading1"/>
    <w:uiPriority w:val="9"/>
    <w:rsid w:val="001220E4"/>
    <w:rPr>
      <w:rFonts w:ascii="Arial" w:eastAsiaTheme="minorEastAsia" w:hAnsi="Arial" w:cs="Arial"/>
      <w:b/>
      <w:color w:val="FFFFFF" w:themeColor="background1"/>
      <w:sz w:val="96"/>
      <w:szCs w:val="96"/>
      <w:lang w:val="en-US" w:eastAsia="ja-JP"/>
    </w:rPr>
  </w:style>
  <w:style w:type="paragraph" w:styleId="NoSpacing">
    <w:name w:val="No Spacing"/>
    <w:link w:val="NoSpacingChar"/>
    <w:uiPriority w:val="1"/>
    <w:rsid w:val="002D14BA"/>
    <w:rPr>
      <w:rFonts w:eastAsiaTheme="minorEastAsia"/>
      <w:sz w:val="22"/>
      <w:szCs w:val="22"/>
      <w:lang w:val="en-US" w:eastAsia="zh-CN"/>
    </w:rPr>
  </w:style>
  <w:style w:type="character" w:customStyle="1" w:styleId="NoSpacingChar">
    <w:name w:val="No Spacing Char"/>
    <w:basedOn w:val="DefaultParagraphFont"/>
    <w:link w:val="NoSpacing"/>
    <w:uiPriority w:val="1"/>
    <w:rsid w:val="002D14BA"/>
    <w:rPr>
      <w:rFonts w:eastAsiaTheme="minorEastAsia"/>
      <w:sz w:val="22"/>
      <w:szCs w:val="22"/>
      <w:lang w:val="en-US" w:eastAsia="zh-CN"/>
    </w:rPr>
  </w:style>
  <w:style w:type="paragraph" w:customStyle="1" w:styleId="mpctitle1">
    <w:name w:val="mpc title 1"/>
    <w:qFormat/>
    <w:rsid w:val="001071F4"/>
    <w:pPr>
      <w:ind w:left="284"/>
    </w:pPr>
    <w:rPr>
      <w:rFonts w:eastAsiaTheme="minorEastAsia" w:cs="Arial"/>
      <w:color w:val="FFFFFF" w:themeColor="background1"/>
      <w:sz w:val="56"/>
      <w:szCs w:val="56"/>
      <w:lang w:val="en-US" w:eastAsia="ja-JP"/>
    </w:rPr>
  </w:style>
  <w:style w:type="paragraph" w:customStyle="1" w:styleId="mpctitle2">
    <w:name w:val="mpc title 2"/>
    <w:basedOn w:val="Heading1"/>
    <w:qFormat/>
    <w:rsid w:val="00420839"/>
    <w:pPr>
      <w:spacing w:after="800"/>
      <w:ind w:left="284"/>
    </w:pPr>
    <w:rPr>
      <w:rFonts w:asciiTheme="minorHAnsi" w:hAnsiTheme="minorHAnsi"/>
      <w:b w:val="0"/>
      <w:sz w:val="36"/>
      <w:szCs w:val="36"/>
    </w:rPr>
  </w:style>
  <w:style w:type="paragraph" w:styleId="TOC4">
    <w:name w:val="toc 4"/>
    <w:basedOn w:val="Normal"/>
    <w:next w:val="Normal"/>
    <w:autoRedefine/>
    <w:uiPriority w:val="39"/>
    <w:unhideWhenUsed/>
    <w:rsid w:val="0026108E"/>
    <w:pPr>
      <w:ind w:left="720"/>
    </w:pPr>
    <w:rPr>
      <w:sz w:val="22"/>
    </w:rPr>
  </w:style>
  <w:style w:type="paragraph" w:styleId="TOC5">
    <w:name w:val="toc 5"/>
    <w:basedOn w:val="Normal"/>
    <w:next w:val="Normal"/>
    <w:autoRedefine/>
    <w:uiPriority w:val="39"/>
    <w:unhideWhenUsed/>
    <w:rsid w:val="0026108E"/>
    <w:pPr>
      <w:ind w:left="960"/>
    </w:pPr>
    <w:rPr>
      <w:sz w:val="22"/>
    </w:rPr>
  </w:style>
  <w:style w:type="paragraph" w:styleId="TOC6">
    <w:name w:val="toc 6"/>
    <w:basedOn w:val="Normal"/>
    <w:next w:val="Normal"/>
    <w:autoRedefine/>
    <w:uiPriority w:val="39"/>
    <w:unhideWhenUsed/>
    <w:rsid w:val="0026108E"/>
    <w:pPr>
      <w:ind w:left="1200"/>
    </w:pPr>
    <w:rPr>
      <w:sz w:val="22"/>
    </w:rPr>
  </w:style>
  <w:style w:type="paragraph" w:styleId="TOC7">
    <w:name w:val="toc 7"/>
    <w:basedOn w:val="Normal"/>
    <w:next w:val="Normal"/>
    <w:autoRedefine/>
    <w:uiPriority w:val="39"/>
    <w:unhideWhenUsed/>
    <w:rsid w:val="0026108E"/>
    <w:pPr>
      <w:ind w:left="1440"/>
    </w:pPr>
    <w:rPr>
      <w:sz w:val="22"/>
    </w:rPr>
  </w:style>
  <w:style w:type="paragraph" w:styleId="TOC8">
    <w:name w:val="toc 8"/>
    <w:basedOn w:val="Normal"/>
    <w:next w:val="Normal"/>
    <w:autoRedefine/>
    <w:uiPriority w:val="39"/>
    <w:unhideWhenUsed/>
    <w:rsid w:val="0026108E"/>
    <w:pPr>
      <w:ind w:left="1680"/>
    </w:pPr>
    <w:rPr>
      <w:sz w:val="22"/>
    </w:rPr>
  </w:style>
  <w:style w:type="paragraph" w:styleId="TOC9">
    <w:name w:val="toc 9"/>
    <w:basedOn w:val="Normal"/>
    <w:next w:val="Normal"/>
    <w:autoRedefine/>
    <w:uiPriority w:val="39"/>
    <w:unhideWhenUsed/>
    <w:rsid w:val="0026108E"/>
    <w:pPr>
      <w:ind w:left="1920"/>
    </w:pPr>
    <w:rPr>
      <w:sz w:val="22"/>
    </w:rPr>
  </w:style>
  <w:style w:type="paragraph" w:customStyle="1" w:styleId="mpcnumberedlist2">
    <w:name w:val="mpc numbered list 2"/>
    <w:next w:val="mpcnumberedlist1"/>
    <w:qFormat/>
    <w:rsid w:val="00A9464C"/>
    <w:pPr>
      <w:numPr>
        <w:numId w:val="5"/>
      </w:numPr>
    </w:pPr>
    <w:rPr>
      <w:lang w:val="en-AU"/>
    </w:rPr>
  </w:style>
  <w:style w:type="paragraph" w:styleId="FootnoteText">
    <w:name w:val="footnote text"/>
    <w:aliases w:val="Footnotes Text,FSFootnotes Text"/>
    <w:basedOn w:val="Normal"/>
    <w:link w:val="FootnoteTextChar"/>
    <w:uiPriority w:val="99"/>
    <w:unhideWhenUsed/>
    <w:rsid w:val="0045557C"/>
    <w:rPr>
      <w:sz w:val="20"/>
      <w:szCs w:val="20"/>
    </w:rPr>
  </w:style>
  <w:style w:type="character" w:customStyle="1" w:styleId="FootnoteTextChar">
    <w:name w:val="Footnote Text Char"/>
    <w:aliases w:val="Footnotes Text Char,FSFootnotes Text Char"/>
    <w:basedOn w:val="DefaultParagraphFont"/>
    <w:link w:val="FootnoteText"/>
    <w:uiPriority w:val="99"/>
    <w:rsid w:val="0045557C"/>
    <w:rPr>
      <w:sz w:val="20"/>
      <w:szCs w:val="20"/>
      <w:lang w:val="en-AU"/>
    </w:rPr>
  </w:style>
  <w:style w:type="character" w:styleId="FootnoteReference">
    <w:name w:val="footnote reference"/>
    <w:basedOn w:val="DefaultParagraphFont"/>
    <w:uiPriority w:val="99"/>
    <w:unhideWhenUsed/>
    <w:qFormat/>
    <w:rsid w:val="0045557C"/>
    <w:rPr>
      <w:vertAlign w:val="superscript"/>
    </w:rPr>
  </w:style>
  <w:style w:type="paragraph" w:styleId="Caption">
    <w:name w:val="caption"/>
    <w:basedOn w:val="Normal"/>
    <w:next w:val="Normal"/>
    <w:uiPriority w:val="35"/>
    <w:unhideWhenUsed/>
    <w:qFormat/>
    <w:rsid w:val="0045557C"/>
    <w:pPr>
      <w:keepNext/>
      <w:spacing w:before="40" w:after="40" w:line="280" w:lineRule="atLeast"/>
    </w:pPr>
    <w:rPr>
      <w:b/>
      <w:iCs/>
      <w:sz w:val="18"/>
      <w:szCs w:val="18"/>
    </w:rPr>
  </w:style>
  <w:style w:type="paragraph" w:customStyle="1" w:styleId="Tabletext">
    <w:name w:val="Table text"/>
    <w:basedOn w:val="Normal"/>
    <w:link w:val="TabletextChar"/>
    <w:rsid w:val="0045557C"/>
    <w:pPr>
      <w:spacing w:before="60" w:after="60" w:line="240" w:lineRule="atLeast"/>
    </w:pPr>
    <w:rPr>
      <w:sz w:val="20"/>
      <w:szCs w:val="18"/>
    </w:rPr>
  </w:style>
  <w:style w:type="character" w:customStyle="1" w:styleId="TabletextChar">
    <w:name w:val="Table text Char"/>
    <w:link w:val="Tabletext"/>
    <w:rsid w:val="0045557C"/>
    <w:rPr>
      <w:sz w:val="20"/>
      <w:szCs w:val="18"/>
      <w:lang w:val="en-AU"/>
    </w:rPr>
  </w:style>
  <w:style w:type="table" w:customStyle="1" w:styleId="HeartFdn">
    <w:name w:val="HeartFdn"/>
    <w:basedOn w:val="TableNormal"/>
    <w:uiPriority w:val="99"/>
    <w:rsid w:val="0045557C"/>
    <w:pPr>
      <w:spacing w:before="120"/>
    </w:pPr>
    <w:rPr>
      <w:sz w:val="20"/>
      <w:szCs w:val="20"/>
      <w:lang w:val="en-AU"/>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beforeLines="0" w:before="60" w:beforeAutospacing="0" w:afterLines="0" w:after="60" w:afterAutospacing="0"/>
      </w:pPr>
      <w:rPr>
        <w:b/>
        <w:bCs/>
        <w:color w:val="FFFFFF" w:themeColor="background1"/>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4472C4" w:themeFill="accent1"/>
      </w:tcPr>
    </w:tblStylePr>
    <w:tblStylePr w:type="lastRow">
      <w:rPr>
        <w:b/>
        <w:bCs/>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firstCol">
      <w:rPr>
        <w:b/>
        <w:bCs/>
      </w:rPr>
    </w:tblStylePr>
    <w:tblStylePr w:type="lastCol">
      <w:rPr>
        <w:b/>
        <w:bCs/>
      </w:rPr>
    </w:tblStylePr>
    <w:tblStylePr w:type="band1Vert">
      <w:pPr>
        <w:wordWrap/>
      </w:pPr>
      <w:tblPr/>
      <w:tcPr>
        <w:shd w:val="clear" w:color="auto" w:fill="EDEDED" w:themeFill="accent3" w:themeFillTint="33"/>
      </w:tcPr>
    </w:tblStylePr>
    <w:tblStylePr w:type="band1Horz">
      <w:tblPr/>
      <w:tcPr>
        <w:shd w:val="clear" w:color="auto" w:fill="EDEDED" w:themeFill="accent3" w:themeFillTint="33"/>
      </w:tcPr>
    </w:tblStylePr>
  </w:style>
  <w:style w:type="paragraph" w:customStyle="1" w:styleId="Table-figurenotes">
    <w:name w:val="Table-figure notes"/>
    <w:basedOn w:val="Normal"/>
    <w:link w:val="Table-figurenotesChar"/>
    <w:uiPriority w:val="4"/>
    <w:rsid w:val="0045557C"/>
    <w:pPr>
      <w:autoSpaceDE w:val="0"/>
      <w:autoSpaceDN w:val="0"/>
      <w:adjustRightInd w:val="0"/>
      <w:spacing w:before="120" w:line="240" w:lineRule="atLeast"/>
    </w:pPr>
    <w:rPr>
      <w:rFonts w:cs="Optima"/>
      <w:bCs/>
      <w:color w:val="000000"/>
      <w:sz w:val="18"/>
      <w:szCs w:val="18"/>
      <w:lang w:bidi="ar-DZ"/>
    </w:rPr>
  </w:style>
  <w:style w:type="character" w:customStyle="1" w:styleId="Table-figurenotesChar">
    <w:name w:val="Table-figure notes Char"/>
    <w:basedOn w:val="DefaultParagraphFont"/>
    <w:link w:val="Table-figurenotes"/>
    <w:uiPriority w:val="4"/>
    <w:rsid w:val="0045557C"/>
    <w:rPr>
      <w:rFonts w:cs="Optima"/>
      <w:bCs/>
      <w:color w:val="000000"/>
      <w:sz w:val="18"/>
      <w:szCs w:val="18"/>
      <w:lang w:val="en-AU" w:bidi="ar-DZ"/>
    </w:rPr>
  </w:style>
  <w:style w:type="character" w:customStyle="1" w:styleId="Heading3Char">
    <w:name w:val="Heading 3 Char"/>
    <w:basedOn w:val="DefaultParagraphFont"/>
    <w:link w:val="Heading3"/>
    <w:uiPriority w:val="9"/>
    <w:semiHidden/>
    <w:rsid w:val="00B63DF7"/>
    <w:rPr>
      <w:rFonts w:asciiTheme="majorHAnsi" w:eastAsiaTheme="majorEastAsia" w:hAnsiTheme="majorHAnsi" w:cstheme="majorBidi"/>
      <w:color w:val="1F3763" w:themeColor="accent1" w:themeShade="7F"/>
      <w:lang w:val="en-AU"/>
    </w:rPr>
  </w:style>
  <w:style w:type="paragraph" w:customStyle="1" w:styleId="Tableheading">
    <w:name w:val="Table heading"/>
    <w:basedOn w:val="Heading3"/>
    <w:link w:val="TableheadingChar"/>
    <w:rsid w:val="00B63DF7"/>
    <w:pPr>
      <w:keepLines w:val="0"/>
      <w:tabs>
        <w:tab w:val="left" w:pos="993"/>
      </w:tabs>
      <w:spacing w:before="120" w:after="120" w:line="260" w:lineRule="atLeast"/>
      <w:ind w:left="993" w:hanging="992"/>
      <w:outlineLvl w:val="9"/>
    </w:pPr>
    <w:rPr>
      <w:rFonts w:asciiTheme="minorHAnsi" w:eastAsiaTheme="minorHAnsi" w:hAnsiTheme="minorHAnsi" w:cstheme="minorBidi"/>
      <w:color w:val="FFFFFF" w:themeColor="background1"/>
      <w:sz w:val="20"/>
      <w:szCs w:val="20"/>
      <w:lang w:bidi="ar-DZ"/>
    </w:rPr>
  </w:style>
  <w:style w:type="character" w:customStyle="1" w:styleId="TableheadingChar">
    <w:name w:val="Table heading Char"/>
    <w:link w:val="Tableheading"/>
    <w:rsid w:val="00B63DF7"/>
    <w:rPr>
      <w:color w:val="FFFFFF" w:themeColor="background1"/>
      <w:sz w:val="20"/>
      <w:szCs w:val="20"/>
      <w:lang w:val="en-AU" w:bidi="ar-DZ"/>
    </w:rPr>
  </w:style>
  <w:style w:type="table" w:styleId="TableGrid">
    <w:name w:val="Table Grid"/>
    <w:basedOn w:val="TableNormal"/>
    <w:uiPriority w:val="39"/>
    <w:rsid w:val="003275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pctableheading">
    <w:name w:val="mpc table heading"/>
    <w:qFormat/>
    <w:rsid w:val="003F7FF4"/>
    <w:rPr>
      <w:b/>
      <w:iCs/>
      <w:sz w:val="22"/>
      <w:szCs w:val="18"/>
      <w:lang w:val="en-AU"/>
    </w:rPr>
  </w:style>
  <w:style w:type="paragraph" w:customStyle="1" w:styleId="mpctabletext">
    <w:name w:val="mpc table text"/>
    <w:qFormat/>
    <w:rsid w:val="00BB1774"/>
    <w:rPr>
      <w:sz w:val="20"/>
      <w:szCs w:val="18"/>
      <w:lang w:val="en-AU"/>
    </w:rPr>
  </w:style>
  <w:style w:type="paragraph" w:styleId="BalloonText">
    <w:name w:val="Balloon Text"/>
    <w:basedOn w:val="Normal"/>
    <w:link w:val="BalloonTextChar"/>
    <w:uiPriority w:val="99"/>
    <w:semiHidden/>
    <w:unhideWhenUsed/>
    <w:rsid w:val="00E25F8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25F84"/>
    <w:rPr>
      <w:rFonts w:ascii="Times New Roman" w:hAnsi="Times New Roman" w:cs="Times New Roman"/>
      <w:sz w:val="18"/>
      <w:szCs w:val="18"/>
      <w:lang w:val="en-AU"/>
    </w:rPr>
  </w:style>
  <w:style w:type="paragraph" w:customStyle="1" w:styleId="listpara2ndlevel">
    <w:name w:val="list para 2nd level"/>
    <w:basedOn w:val="ListParagraph"/>
    <w:qFormat/>
    <w:rsid w:val="00E25F84"/>
    <w:pPr>
      <w:spacing w:before="20" w:after="120"/>
      <w:ind w:left="1650" w:hanging="360"/>
      <w:contextualSpacing w:val="0"/>
    </w:pPr>
    <w:rPr>
      <w:rFonts w:ascii="Arial" w:eastAsiaTheme="minorEastAsia" w:hAnsi="Arial"/>
      <w:sz w:val="20"/>
      <w:szCs w:val="22"/>
    </w:rPr>
  </w:style>
  <w:style w:type="character" w:customStyle="1" w:styleId="ListParagraphChar">
    <w:name w:val="List Paragraph Char"/>
    <w:aliases w:val="Recommendation Char,List Paragraph1 Char,List Paragraph11 Char,L Char,#List Paragraph Char,Bullet Level 1 Char,Bullet Point Char,Bullet point Char,Bulletr List Paragraph Char,Content descriptions Char,FooterText Char,リスト段落 Char"/>
    <w:link w:val="ListParagraph"/>
    <w:uiPriority w:val="34"/>
    <w:qFormat/>
    <w:locked/>
    <w:rsid w:val="00A34DD7"/>
    <w:rPr>
      <w:lang w:val="en-AU"/>
    </w:rPr>
  </w:style>
  <w:style w:type="paragraph" w:customStyle="1" w:styleId="Numberbullet">
    <w:name w:val="Number bullet"/>
    <w:basedOn w:val="ListBullet"/>
    <w:uiPriority w:val="2"/>
    <w:qFormat/>
    <w:rsid w:val="005E6AB9"/>
    <w:pPr>
      <w:numPr>
        <w:numId w:val="0"/>
      </w:numPr>
      <w:spacing w:before="120" w:after="180" w:line="240" w:lineRule="atLeast"/>
      <w:ind w:left="425" w:hanging="425"/>
      <w:contextualSpacing w:val="0"/>
    </w:pPr>
    <w:rPr>
      <w:rFonts w:ascii="Cambria" w:eastAsia="Cambria" w:hAnsi="Cambria" w:cs="Times New Roman"/>
      <w:sz w:val="22"/>
      <w:szCs w:val="20"/>
    </w:rPr>
  </w:style>
  <w:style w:type="paragraph" w:styleId="ListBullet">
    <w:name w:val="List Bullet"/>
    <w:basedOn w:val="Normal"/>
    <w:uiPriority w:val="99"/>
    <w:semiHidden/>
    <w:unhideWhenUsed/>
    <w:rsid w:val="005E6AB9"/>
    <w:pPr>
      <w:numPr>
        <w:numId w:val="7"/>
      </w:numPr>
      <w:contextualSpacing/>
    </w:pPr>
  </w:style>
  <w:style w:type="paragraph" w:styleId="NormalWeb">
    <w:name w:val="Normal (Web)"/>
    <w:basedOn w:val="Normal"/>
    <w:uiPriority w:val="99"/>
    <w:unhideWhenUsed/>
    <w:rsid w:val="009362D1"/>
    <w:pPr>
      <w:spacing w:before="100" w:beforeAutospacing="1" w:after="100" w:afterAutospacing="1"/>
    </w:pPr>
    <w:rPr>
      <w:rFonts w:eastAsia="Times New Roman" w:cs="Times New Roman"/>
      <w:lang w:eastAsia="en-GB"/>
    </w:rPr>
  </w:style>
  <w:style w:type="paragraph" w:customStyle="1" w:styleId="mpcnumberedlist">
    <w:name w:val="mpc numbered list"/>
    <w:basedOn w:val="ListParagraph"/>
    <w:qFormat/>
    <w:rsid w:val="00A16004"/>
    <w:pPr>
      <w:ind w:left="360" w:hanging="360"/>
    </w:pPr>
    <w:rPr>
      <w:rFonts w:ascii="Times New Roman" w:eastAsia="Times New Roman" w:hAnsi="Times New Roman" w:cs="Verdana"/>
      <w:lang w:eastAsia="en-GB"/>
    </w:rPr>
  </w:style>
  <w:style w:type="paragraph" w:styleId="Title">
    <w:name w:val="Title"/>
    <w:basedOn w:val="Normal"/>
    <w:next w:val="Normal"/>
    <w:link w:val="TitleChar"/>
    <w:uiPriority w:val="10"/>
    <w:qFormat/>
    <w:rsid w:val="009D6693"/>
    <w:pPr>
      <w:pBdr>
        <w:top w:val="single" w:sz="4" w:space="1" w:color="auto"/>
        <w:left w:val="single" w:sz="4" w:space="4" w:color="auto"/>
        <w:bottom w:val="single" w:sz="4" w:space="1" w:color="auto"/>
        <w:right w:val="single" w:sz="4" w:space="4" w:color="auto"/>
      </w:pBdr>
      <w:shd w:val="clear" w:color="auto" w:fill="744466"/>
      <w:jc w:val="center"/>
      <w:outlineLvl w:val="0"/>
    </w:pPr>
    <w:rPr>
      <w:rFonts w:ascii="Calibri" w:hAnsi="Calibri"/>
      <w:b/>
      <w:color w:val="FFFFFF" w:themeColor="background1"/>
      <w:sz w:val="28"/>
      <w:szCs w:val="28"/>
    </w:rPr>
  </w:style>
  <w:style w:type="character" w:customStyle="1" w:styleId="TitleChar">
    <w:name w:val="Title Char"/>
    <w:basedOn w:val="DefaultParagraphFont"/>
    <w:link w:val="Title"/>
    <w:uiPriority w:val="10"/>
    <w:rsid w:val="009D6693"/>
    <w:rPr>
      <w:rFonts w:ascii="Calibri" w:hAnsi="Calibri"/>
      <w:b/>
      <w:color w:val="FFFFFF" w:themeColor="background1"/>
      <w:sz w:val="28"/>
      <w:szCs w:val="28"/>
      <w:shd w:val="clear" w:color="auto" w:fill="744466"/>
      <w:lang w:val="en-AU"/>
    </w:rPr>
  </w:style>
  <w:style w:type="character" w:styleId="Hyperlink">
    <w:name w:val="Hyperlink"/>
    <w:basedOn w:val="DefaultParagraphFont"/>
    <w:uiPriority w:val="99"/>
    <w:unhideWhenUsed/>
    <w:rsid w:val="004042F3"/>
    <w:rPr>
      <w:color w:val="0000FF"/>
      <w:u w:val="single"/>
    </w:rPr>
  </w:style>
  <w:style w:type="character" w:styleId="CommentReference">
    <w:name w:val="annotation reference"/>
    <w:basedOn w:val="DefaultParagraphFont"/>
    <w:uiPriority w:val="99"/>
    <w:semiHidden/>
    <w:unhideWhenUsed/>
    <w:rsid w:val="00D4671F"/>
    <w:rPr>
      <w:sz w:val="16"/>
      <w:szCs w:val="16"/>
    </w:rPr>
  </w:style>
  <w:style w:type="paragraph" w:styleId="CommentText">
    <w:name w:val="annotation text"/>
    <w:basedOn w:val="Normal"/>
    <w:link w:val="CommentTextChar"/>
    <w:uiPriority w:val="99"/>
    <w:unhideWhenUsed/>
    <w:rsid w:val="00D4671F"/>
    <w:rPr>
      <w:sz w:val="20"/>
      <w:szCs w:val="20"/>
    </w:rPr>
  </w:style>
  <w:style w:type="character" w:customStyle="1" w:styleId="CommentTextChar">
    <w:name w:val="Comment Text Char"/>
    <w:basedOn w:val="DefaultParagraphFont"/>
    <w:link w:val="CommentText"/>
    <w:uiPriority w:val="99"/>
    <w:rsid w:val="00D4671F"/>
    <w:rPr>
      <w:sz w:val="20"/>
      <w:szCs w:val="20"/>
      <w:lang w:val="en-AU"/>
    </w:rPr>
  </w:style>
  <w:style w:type="paragraph" w:styleId="CommentSubject">
    <w:name w:val="annotation subject"/>
    <w:basedOn w:val="CommentText"/>
    <w:next w:val="CommentText"/>
    <w:link w:val="CommentSubjectChar"/>
    <w:uiPriority w:val="99"/>
    <w:semiHidden/>
    <w:unhideWhenUsed/>
    <w:rsid w:val="00D4671F"/>
    <w:rPr>
      <w:b/>
      <w:bCs/>
    </w:rPr>
  </w:style>
  <w:style w:type="character" w:customStyle="1" w:styleId="CommentSubjectChar">
    <w:name w:val="Comment Subject Char"/>
    <w:basedOn w:val="CommentTextChar"/>
    <w:link w:val="CommentSubject"/>
    <w:uiPriority w:val="99"/>
    <w:semiHidden/>
    <w:rsid w:val="00D4671F"/>
    <w:rPr>
      <w:b/>
      <w:bCs/>
      <w:sz w:val="20"/>
      <w:szCs w:val="20"/>
      <w:lang w:val="en-AU"/>
    </w:rPr>
  </w:style>
  <w:style w:type="paragraph" w:styleId="Revision">
    <w:name w:val="Revision"/>
    <w:hidden/>
    <w:uiPriority w:val="99"/>
    <w:semiHidden/>
    <w:rsid w:val="00D4671F"/>
    <w:rPr>
      <w:lang w:val="en-AU"/>
    </w:rPr>
  </w:style>
  <w:style w:type="character" w:customStyle="1" w:styleId="apple-converted-space">
    <w:name w:val="apple-converted-space"/>
    <w:basedOn w:val="DefaultParagraphFont"/>
    <w:rsid w:val="0068231F"/>
  </w:style>
  <w:style w:type="character" w:styleId="UnresolvedMention">
    <w:name w:val="Unresolved Mention"/>
    <w:basedOn w:val="DefaultParagraphFont"/>
    <w:uiPriority w:val="99"/>
    <w:rsid w:val="00DB1D8D"/>
    <w:rPr>
      <w:color w:val="605E5C"/>
      <w:shd w:val="clear" w:color="auto" w:fill="E1DFDD"/>
    </w:rPr>
  </w:style>
  <w:style w:type="paragraph" w:customStyle="1" w:styleId="Bullet1">
    <w:name w:val="Bullet 1"/>
    <w:basedOn w:val="ListParagraph"/>
    <w:qFormat/>
    <w:rsid w:val="00D91F01"/>
    <w:pPr>
      <w:numPr>
        <w:numId w:val="11"/>
      </w:numPr>
    </w:pPr>
    <w:rPr>
      <w:rFonts w:eastAsia="Calibri" w:cs="Times New Roman"/>
      <w:sz w:val="22"/>
      <w:szCs w:val="22"/>
    </w:rPr>
  </w:style>
  <w:style w:type="character" w:styleId="FollowedHyperlink">
    <w:name w:val="FollowedHyperlink"/>
    <w:basedOn w:val="DefaultParagraphFont"/>
    <w:uiPriority w:val="99"/>
    <w:semiHidden/>
    <w:unhideWhenUsed/>
    <w:rsid w:val="0027040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7637678">
      <w:bodyDiv w:val="1"/>
      <w:marLeft w:val="0"/>
      <w:marRight w:val="0"/>
      <w:marTop w:val="0"/>
      <w:marBottom w:val="0"/>
      <w:divBdr>
        <w:top w:val="none" w:sz="0" w:space="0" w:color="auto"/>
        <w:left w:val="none" w:sz="0" w:space="0" w:color="auto"/>
        <w:bottom w:val="none" w:sz="0" w:space="0" w:color="auto"/>
        <w:right w:val="none" w:sz="0" w:space="0" w:color="auto"/>
      </w:divBdr>
      <w:divsChild>
        <w:div w:id="475033289">
          <w:marLeft w:val="0"/>
          <w:marRight w:val="0"/>
          <w:marTop w:val="0"/>
          <w:marBottom w:val="0"/>
          <w:divBdr>
            <w:top w:val="none" w:sz="0" w:space="0" w:color="auto"/>
            <w:left w:val="none" w:sz="0" w:space="0" w:color="auto"/>
            <w:bottom w:val="none" w:sz="0" w:space="0" w:color="auto"/>
            <w:right w:val="none" w:sz="0" w:space="0" w:color="auto"/>
          </w:divBdr>
        </w:div>
        <w:div w:id="923145536">
          <w:marLeft w:val="0"/>
          <w:marRight w:val="0"/>
          <w:marTop w:val="0"/>
          <w:marBottom w:val="0"/>
          <w:divBdr>
            <w:top w:val="none" w:sz="0" w:space="0" w:color="auto"/>
            <w:left w:val="none" w:sz="0" w:space="0" w:color="auto"/>
            <w:bottom w:val="none" w:sz="0" w:space="0" w:color="auto"/>
            <w:right w:val="none" w:sz="0" w:space="0" w:color="auto"/>
          </w:divBdr>
        </w:div>
        <w:div w:id="1053775752">
          <w:marLeft w:val="0"/>
          <w:marRight w:val="0"/>
          <w:marTop w:val="0"/>
          <w:marBottom w:val="0"/>
          <w:divBdr>
            <w:top w:val="none" w:sz="0" w:space="0" w:color="auto"/>
            <w:left w:val="none" w:sz="0" w:space="0" w:color="auto"/>
            <w:bottom w:val="none" w:sz="0" w:space="0" w:color="auto"/>
            <w:right w:val="none" w:sz="0" w:space="0" w:color="auto"/>
          </w:divBdr>
        </w:div>
        <w:div w:id="613706455">
          <w:marLeft w:val="0"/>
          <w:marRight w:val="0"/>
          <w:marTop w:val="0"/>
          <w:marBottom w:val="0"/>
          <w:divBdr>
            <w:top w:val="none" w:sz="0" w:space="0" w:color="auto"/>
            <w:left w:val="none" w:sz="0" w:space="0" w:color="auto"/>
            <w:bottom w:val="none" w:sz="0" w:space="0" w:color="auto"/>
            <w:right w:val="none" w:sz="0" w:space="0" w:color="auto"/>
          </w:divBdr>
        </w:div>
        <w:div w:id="1743067218">
          <w:marLeft w:val="0"/>
          <w:marRight w:val="0"/>
          <w:marTop w:val="0"/>
          <w:marBottom w:val="0"/>
          <w:divBdr>
            <w:top w:val="none" w:sz="0" w:space="0" w:color="auto"/>
            <w:left w:val="none" w:sz="0" w:space="0" w:color="auto"/>
            <w:bottom w:val="none" w:sz="0" w:space="0" w:color="auto"/>
            <w:right w:val="none" w:sz="0" w:space="0" w:color="auto"/>
          </w:divBdr>
        </w:div>
        <w:div w:id="458377940">
          <w:marLeft w:val="0"/>
          <w:marRight w:val="0"/>
          <w:marTop w:val="0"/>
          <w:marBottom w:val="0"/>
          <w:divBdr>
            <w:top w:val="none" w:sz="0" w:space="0" w:color="auto"/>
            <w:left w:val="none" w:sz="0" w:space="0" w:color="auto"/>
            <w:bottom w:val="none" w:sz="0" w:space="0" w:color="auto"/>
            <w:right w:val="none" w:sz="0" w:space="0" w:color="auto"/>
          </w:divBdr>
        </w:div>
        <w:div w:id="861162858">
          <w:marLeft w:val="0"/>
          <w:marRight w:val="0"/>
          <w:marTop w:val="0"/>
          <w:marBottom w:val="0"/>
          <w:divBdr>
            <w:top w:val="none" w:sz="0" w:space="0" w:color="auto"/>
            <w:left w:val="none" w:sz="0" w:space="0" w:color="auto"/>
            <w:bottom w:val="none" w:sz="0" w:space="0" w:color="auto"/>
            <w:right w:val="none" w:sz="0" w:space="0" w:color="auto"/>
          </w:divBdr>
        </w:div>
        <w:div w:id="2137210212">
          <w:marLeft w:val="0"/>
          <w:marRight w:val="0"/>
          <w:marTop w:val="0"/>
          <w:marBottom w:val="0"/>
          <w:divBdr>
            <w:top w:val="none" w:sz="0" w:space="0" w:color="auto"/>
            <w:left w:val="none" w:sz="0" w:space="0" w:color="auto"/>
            <w:bottom w:val="none" w:sz="0" w:space="0" w:color="auto"/>
            <w:right w:val="none" w:sz="0" w:space="0" w:color="auto"/>
          </w:divBdr>
        </w:div>
        <w:div w:id="1161772935">
          <w:marLeft w:val="0"/>
          <w:marRight w:val="0"/>
          <w:marTop w:val="0"/>
          <w:marBottom w:val="0"/>
          <w:divBdr>
            <w:top w:val="none" w:sz="0" w:space="0" w:color="auto"/>
            <w:left w:val="none" w:sz="0" w:space="0" w:color="auto"/>
            <w:bottom w:val="none" w:sz="0" w:space="0" w:color="auto"/>
            <w:right w:val="none" w:sz="0" w:space="0" w:color="auto"/>
          </w:divBdr>
        </w:div>
        <w:div w:id="1097170497">
          <w:marLeft w:val="0"/>
          <w:marRight w:val="0"/>
          <w:marTop w:val="0"/>
          <w:marBottom w:val="0"/>
          <w:divBdr>
            <w:top w:val="none" w:sz="0" w:space="0" w:color="auto"/>
            <w:left w:val="none" w:sz="0" w:space="0" w:color="auto"/>
            <w:bottom w:val="none" w:sz="0" w:space="0" w:color="auto"/>
            <w:right w:val="none" w:sz="0" w:space="0" w:color="auto"/>
          </w:divBdr>
        </w:div>
        <w:div w:id="1013192755">
          <w:marLeft w:val="0"/>
          <w:marRight w:val="0"/>
          <w:marTop w:val="0"/>
          <w:marBottom w:val="0"/>
          <w:divBdr>
            <w:top w:val="none" w:sz="0" w:space="0" w:color="auto"/>
            <w:left w:val="none" w:sz="0" w:space="0" w:color="auto"/>
            <w:bottom w:val="none" w:sz="0" w:space="0" w:color="auto"/>
            <w:right w:val="none" w:sz="0" w:space="0" w:color="auto"/>
          </w:divBdr>
        </w:div>
        <w:div w:id="1788886772">
          <w:marLeft w:val="0"/>
          <w:marRight w:val="0"/>
          <w:marTop w:val="0"/>
          <w:marBottom w:val="0"/>
          <w:divBdr>
            <w:top w:val="none" w:sz="0" w:space="0" w:color="auto"/>
            <w:left w:val="none" w:sz="0" w:space="0" w:color="auto"/>
            <w:bottom w:val="none" w:sz="0" w:space="0" w:color="auto"/>
            <w:right w:val="none" w:sz="0" w:space="0" w:color="auto"/>
          </w:divBdr>
        </w:div>
        <w:div w:id="575438549">
          <w:marLeft w:val="0"/>
          <w:marRight w:val="0"/>
          <w:marTop w:val="0"/>
          <w:marBottom w:val="0"/>
          <w:divBdr>
            <w:top w:val="none" w:sz="0" w:space="0" w:color="auto"/>
            <w:left w:val="none" w:sz="0" w:space="0" w:color="auto"/>
            <w:bottom w:val="none" w:sz="0" w:space="0" w:color="auto"/>
            <w:right w:val="none" w:sz="0" w:space="0" w:color="auto"/>
          </w:divBdr>
        </w:div>
        <w:div w:id="1390377997">
          <w:marLeft w:val="0"/>
          <w:marRight w:val="0"/>
          <w:marTop w:val="0"/>
          <w:marBottom w:val="0"/>
          <w:divBdr>
            <w:top w:val="none" w:sz="0" w:space="0" w:color="auto"/>
            <w:left w:val="none" w:sz="0" w:space="0" w:color="auto"/>
            <w:bottom w:val="none" w:sz="0" w:space="0" w:color="auto"/>
            <w:right w:val="none" w:sz="0" w:space="0" w:color="auto"/>
          </w:divBdr>
        </w:div>
        <w:div w:id="652831301">
          <w:marLeft w:val="0"/>
          <w:marRight w:val="0"/>
          <w:marTop w:val="0"/>
          <w:marBottom w:val="0"/>
          <w:divBdr>
            <w:top w:val="none" w:sz="0" w:space="0" w:color="auto"/>
            <w:left w:val="none" w:sz="0" w:space="0" w:color="auto"/>
            <w:bottom w:val="none" w:sz="0" w:space="0" w:color="auto"/>
            <w:right w:val="none" w:sz="0" w:space="0" w:color="auto"/>
          </w:divBdr>
        </w:div>
        <w:div w:id="251472236">
          <w:marLeft w:val="0"/>
          <w:marRight w:val="0"/>
          <w:marTop w:val="0"/>
          <w:marBottom w:val="0"/>
          <w:divBdr>
            <w:top w:val="none" w:sz="0" w:space="0" w:color="auto"/>
            <w:left w:val="none" w:sz="0" w:space="0" w:color="auto"/>
            <w:bottom w:val="none" w:sz="0" w:space="0" w:color="auto"/>
            <w:right w:val="none" w:sz="0" w:space="0" w:color="auto"/>
          </w:divBdr>
        </w:div>
        <w:div w:id="771054709">
          <w:marLeft w:val="0"/>
          <w:marRight w:val="0"/>
          <w:marTop w:val="0"/>
          <w:marBottom w:val="0"/>
          <w:divBdr>
            <w:top w:val="none" w:sz="0" w:space="0" w:color="auto"/>
            <w:left w:val="none" w:sz="0" w:space="0" w:color="auto"/>
            <w:bottom w:val="none" w:sz="0" w:space="0" w:color="auto"/>
            <w:right w:val="none" w:sz="0" w:space="0" w:color="auto"/>
          </w:divBdr>
        </w:div>
      </w:divsChild>
    </w:div>
    <w:div w:id="331833479">
      <w:bodyDiv w:val="1"/>
      <w:marLeft w:val="0"/>
      <w:marRight w:val="0"/>
      <w:marTop w:val="0"/>
      <w:marBottom w:val="0"/>
      <w:divBdr>
        <w:top w:val="none" w:sz="0" w:space="0" w:color="auto"/>
        <w:left w:val="none" w:sz="0" w:space="0" w:color="auto"/>
        <w:bottom w:val="none" w:sz="0" w:space="0" w:color="auto"/>
        <w:right w:val="none" w:sz="0" w:space="0" w:color="auto"/>
      </w:divBdr>
    </w:div>
    <w:div w:id="358505607">
      <w:bodyDiv w:val="1"/>
      <w:marLeft w:val="0"/>
      <w:marRight w:val="0"/>
      <w:marTop w:val="0"/>
      <w:marBottom w:val="0"/>
      <w:divBdr>
        <w:top w:val="none" w:sz="0" w:space="0" w:color="auto"/>
        <w:left w:val="none" w:sz="0" w:space="0" w:color="auto"/>
        <w:bottom w:val="none" w:sz="0" w:space="0" w:color="auto"/>
        <w:right w:val="none" w:sz="0" w:space="0" w:color="auto"/>
      </w:divBdr>
    </w:div>
    <w:div w:id="403527162">
      <w:bodyDiv w:val="1"/>
      <w:marLeft w:val="0"/>
      <w:marRight w:val="0"/>
      <w:marTop w:val="0"/>
      <w:marBottom w:val="0"/>
      <w:divBdr>
        <w:top w:val="none" w:sz="0" w:space="0" w:color="auto"/>
        <w:left w:val="none" w:sz="0" w:space="0" w:color="auto"/>
        <w:bottom w:val="none" w:sz="0" w:space="0" w:color="auto"/>
        <w:right w:val="none" w:sz="0" w:space="0" w:color="auto"/>
      </w:divBdr>
    </w:div>
    <w:div w:id="534317148">
      <w:bodyDiv w:val="1"/>
      <w:marLeft w:val="0"/>
      <w:marRight w:val="0"/>
      <w:marTop w:val="0"/>
      <w:marBottom w:val="0"/>
      <w:divBdr>
        <w:top w:val="none" w:sz="0" w:space="0" w:color="auto"/>
        <w:left w:val="none" w:sz="0" w:space="0" w:color="auto"/>
        <w:bottom w:val="none" w:sz="0" w:space="0" w:color="auto"/>
        <w:right w:val="none" w:sz="0" w:space="0" w:color="auto"/>
      </w:divBdr>
    </w:div>
    <w:div w:id="605887930">
      <w:bodyDiv w:val="1"/>
      <w:marLeft w:val="0"/>
      <w:marRight w:val="0"/>
      <w:marTop w:val="0"/>
      <w:marBottom w:val="0"/>
      <w:divBdr>
        <w:top w:val="none" w:sz="0" w:space="0" w:color="auto"/>
        <w:left w:val="none" w:sz="0" w:space="0" w:color="auto"/>
        <w:bottom w:val="none" w:sz="0" w:space="0" w:color="auto"/>
        <w:right w:val="none" w:sz="0" w:space="0" w:color="auto"/>
      </w:divBdr>
      <w:divsChild>
        <w:div w:id="70204335">
          <w:marLeft w:val="0"/>
          <w:marRight w:val="0"/>
          <w:marTop w:val="0"/>
          <w:marBottom w:val="0"/>
          <w:divBdr>
            <w:top w:val="none" w:sz="0" w:space="0" w:color="auto"/>
            <w:left w:val="none" w:sz="0" w:space="0" w:color="auto"/>
            <w:bottom w:val="none" w:sz="0" w:space="0" w:color="auto"/>
            <w:right w:val="none" w:sz="0" w:space="0" w:color="auto"/>
          </w:divBdr>
        </w:div>
        <w:div w:id="115562589">
          <w:marLeft w:val="0"/>
          <w:marRight w:val="0"/>
          <w:marTop w:val="0"/>
          <w:marBottom w:val="0"/>
          <w:divBdr>
            <w:top w:val="none" w:sz="0" w:space="0" w:color="auto"/>
            <w:left w:val="none" w:sz="0" w:space="0" w:color="auto"/>
            <w:bottom w:val="none" w:sz="0" w:space="0" w:color="auto"/>
            <w:right w:val="none" w:sz="0" w:space="0" w:color="auto"/>
          </w:divBdr>
        </w:div>
        <w:div w:id="348874306">
          <w:marLeft w:val="0"/>
          <w:marRight w:val="0"/>
          <w:marTop w:val="0"/>
          <w:marBottom w:val="0"/>
          <w:divBdr>
            <w:top w:val="none" w:sz="0" w:space="0" w:color="auto"/>
            <w:left w:val="none" w:sz="0" w:space="0" w:color="auto"/>
            <w:bottom w:val="none" w:sz="0" w:space="0" w:color="auto"/>
            <w:right w:val="none" w:sz="0" w:space="0" w:color="auto"/>
          </w:divBdr>
        </w:div>
      </w:divsChild>
    </w:div>
    <w:div w:id="659429520">
      <w:bodyDiv w:val="1"/>
      <w:marLeft w:val="0"/>
      <w:marRight w:val="0"/>
      <w:marTop w:val="0"/>
      <w:marBottom w:val="0"/>
      <w:divBdr>
        <w:top w:val="none" w:sz="0" w:space="0" w:color="auto"/>
        <w:left w:val="none" w:sz="0" w:space="0" w:color="auto"/>
        <w:bottom w:val="none" w:sz="0" w:space="0" w:color="auto"/>
        <w:right w:val="none" w:sz="0" w:space="0" w:color="auto"/>
      </w:divBdr>
    </w:div>
    <w:div w:id="945573430">
      <w:bodyDiv w:val="1"/>
      <w:marLeft w:val="0"/>
      <w:marRight w:val="0"/>
      <w:marTop w:val="0"/>
      <w:marBottom w:val="0"/>
      <w:divBdr>
        <w:top w:val="none" w:sz="0" w:space="0" w:color="auto"/>
        <w:left w:val="none" w:sz="0" w:space="0" w:color="auto"/>
        <w:bottom w:val="none" w:sz="0" w:space="0" w:color="auto"/>
        <w:right w:val="none" w:sz="0" w:space="0" w:color="auto"/>
      </w:divBdr>
      <w:divsChild>
        <w:div w:id="9946503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5051804">
              <w:marLeft w:val="0"/>
              <w:marRight w:val="0"/>
              <w:marTop w:val="0"/>
              <w:marBottom w:val="0"/>
              <w:divBdr>
                <w:top w:val="none" w:sz="0" w:space="0" w:color="auto"/>
                <w:left w:val="none" w:sz="0" w:space="0" w:color="auto"/>
                <w:bottom w:val="none" w:sz="0" w:space="0" w:color="auto"/>
                <w:right w:val="none" w:sz="0" w:space="0" w:color="auto"/>
              </w:divBdr>
              <w:divsChild>
                <w:div w:id="173797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740832">
      <w:bodyDiv w:val="1"/>
      <w:marLeft w:val="0"/>
      <w:marRight w:val="0"/>
      <w:marTop w:val="0"/>
      <w:marBottom w:val="0"/>
      <w:divBdr>
        <w:top w:val="none" w:sz="0" w:space="0" w:color="auto"/>
        <w:left w:val="none" w:sz="0" w:space="0" w:color="auto"/>
        <w:bottom w:val="none" w:sz="0" w:space="0" w:color="auto"/>
        <w:right w:val="none" w:sz="0" w:space="0" w:color="auto"/>
      </w:divBdr>
    </w:div>
    <w:div w:id="1487088820">
      <w:bodyDiv w:val="1"/>
      <w:marLeft w:val="0"/>
      <w:marRight w:val="0"/>
      <w:marTop w:val="0"/>
      <w:marBottom w:val="0"/>
      <w:divBdr>
        <w:top w:val="none" w:sz="0" w:space="0" w:color="auto"/>
        <w:left w:val="none" w:sz="0" w:space="0" w:color="auto"/>
        <w:bottom w:val="none" w:sz="0" w:space="0" w:color="auto"/>
        <w:right w:val="none" w:sz="0" w:space="0" w:color="auto"/>
      </w:divBdr>
    </w:div>
    <w:div w:id="1638877395">
      <w:bodyDiv w:val="1"/>
      <w:marLeft w:val="0"/>
      <w:marRight w:val="0"/>
      <w:marTop w:val="0"/>
      <w:marBottom w:val="0"/>
      <w:divBdr>
        <w:top w:val="none" w:sz="0" w:space="0" w:color="auto"/>
        <w:left w:val="none" w:sz="0" w:space="0" w:color="auto"/>
        <w:bottom w:val="none" w:sz="0" w:space="0" w:color="auto"/>
        <w:right w:val="none" w:sz="0" w:space="0" w:color="auto"/>
      </w:divBdr>
    </w:div>
    <w:div w:id="1694066694">
      <w:bodyDiv w:val="1"/>
      <w:marLeft w:val="0"/>
      <w:marRight w:val="0"/>
      <w:marTop w:val="0"/>
      <w:marBottom w:val="0"/>
      <w:divBdr>
        <w:top w:val="none" w:sz="0" w:space="0" w:color="auto"/>
        <w:left w:val="none" w:sz="0" w:space="0" w:color="auto"/>
        <w:bottom w:val="none" w:sz="0" w:space="0" w:color="auto"/>
        <w:right w:val="none" w:sz="0" w:space="0" w:color="auto"/>
      </w:divBdr>
      <w:divsChild>
        <w:div w:id="1901134391">
          <w:marLeft w:val="0"/>
          <w:marRight w:val="0"/>
          <w:marTop w:val="0"/>
          <w:marBottom w:val="0"/>
          <w:divBdr>
            <w:top w:val="none" w:sz="0" w:space="0" w:color="auto"/>
            <w:left w:val="none" w:sz="0" w:space="0" w:color="auto"/>
            <w:bottom w:val="none" w:sz="0" w:space="0" w:color="auto"/>
            <w:right w:val="none" w:sz="0" w:space="0" w:color="auto"/>
          </w:divBdr>
        </w:div>
        <w:div w:id="153911067">
          <w:marLeft w:val="0"/>
          <w:marRight w:val="0"/>
          <w:marTop w:val="0"/>
          <w:marBottom w:val="0"/>
          <w:divBdr>
            <w:top w:val="none" w:sz="0" w:space="0" w:color="auto"/>
            <w:left w:val="none" w:sz="0" w:space="0" w:color="auto"/>
            <w:bottom w:val="none" w:sz="0" w:space="0" w:color="auto"/>
            <w:right w:val="none" w:sz="0" w:space="0" w:color="auto"/>
          </w:divBdr>
        </w:div>
      </w:divsChild>
    </w:div>
    <w:div w:id="1807620219">
      <w:bodyDiv w:val="1"/>
      <w:marLeft w:val="0"/>
      <w:marRight w:val="0"/>
      <w:marTop w:val="0"/>
      <w:marBottom w:val="0"/>
      <w:divBdr>
        <w:top w:val="none" w:sz="0" w:space="0" w:color="auto"/>
        <w:left w:val="none" w:sz="0" w:space="0" w:color="auto"/>
        <w:bottom w:val="none" w:sz="0" w:space="0" w:color="auto"/>
        <w:right w:val="none" w:sz="0" w:space="0" w:color="auto"/>
      </w:divBdr>
    </w:div>
    <w:div w:id="1811748892">
      <w:bodyDiv w:val="1"/>
      <w:marLeft w:val="0"/>
      <w:marRight w:val="0"/>
      <w:marTop w:val="0"/>
      <w:marBottom w:val="0"/>
      <w:divBdr>
        <w:top w:val="none" w:sz="0" w:space="0" w:color="auto"/>
        <w:left w:val="none" w:sz="0" w:space="0" w:color="auto"/>
        <w:bottom w:val="none" w:sz="0" w:space="0" w:color="auto"/>
        <w:right w:val="none" w:sz="0" w:space="0" w:color="auto"/>
      </w:divBdr>
    </w:div>
    <w:div w:id="1856385176">
      <w:bodyDiv w:val="1"/>
      <w:marLeft w:val="0"/>
      <w:marRight w:val="0"/>
      <w:marTop w:val="0"/>
      <w:marBottom w:val="0"/>
      <w:divBdr>
        <w:top w:val="none" w:sz="0" w:space="0" w:color="auto"/>
        <w:left w:val="none" w:sz="0" w:space="0" w:color="auto"/>
        <w:bottom w:val="none" w:sz="0" w:space="0" w:color="auto"/>
        <w:right w:val="none" w:sz="0" w:space="0" w:color="auto"/>
      </w:divBdr>
    </w:div>
    <w:div w:id="2068991509">
      <w:bodyDiv w:val="1"/>
      <w:marLeft w:val="0"/>
      <w:marRight w:val="0"/>
      <w:marTop w:val="0"/>
      <w:marBottom w:val="0"/>
      <w:divBdr>
        <w:top w:val="none" w:sz="0" w:space="0" w:color="auto"/>
        <w:left w:val="none" w:sz="0" w:space="0" w:color="auto"/>
        <w:bottom w:val="none" w:sz="0" w:space="0" w:color="auto"/>
        <w:right w:val="none" w:sz="0" w:space="0" w:color="auto"/>
      </w:divBdr>
      <w:divsChild>
        <w:div w:id="7158109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0151272">
              <w:marLeft w:val="0"/>
              <w:marRight w:val="0"/>
              <w:marTop w:val="0"/>
              <w:marBottom w:val="0"/>
              <w:divBdr>
                <w:top w:val="none" w:sz="0" w:space="0" w:color="auto"/>
                <w:left w:val="none" w:sz="0" w:space="0" w:color="auto"/>
                <w:bottom w:val="none" w:sz="0" w:space="0" w:color="auto"/>
                <w:right w:val="none" w:sz="0" w:space="0" w:color="auto"/>
              </w:divBdr>
              <w:divsChild>
                <w:div w:id="104818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6572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hpra.gov.au/Registration/Registers-of-Practitioners.asp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nsultations.health.gov.au/aged-care-reform-compliance-division/aged-care-worker-regulation-scheme-consultatio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s://www.careworkers.org.au/" TargetMode="External"/><Relationship Id="rId1" Type="http://schemas.openxmlformats.org/officeDocument/2006/relationships/hyperlink" Target="https://www.gen-agedcaredata.gov.au/www_aihwgen/media/Workforce/The-Aged-Care-Workforce-2016.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izAbbott/Dropbox/mpconsulting%20Resources%20Folder/Template%20documents/Reports,%20Quotes%20&amp;%20Tender%20Templates/Full%20Report%20Template-DRAFT-3108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8FA75D1-5AFE-CA4F-B6F4-46C140A0CC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Full Report Template-DRAFT-310817.dotx</Template>
  <TotalTime>1133</TotalTime>
  <Pages>52</Pages>
  <Words>18839</Words>
  <Characters>107383</Characters>
  <Application>Microsoft Office Word</Application>
  <DocSecurity>0</DocSecurity>
  <Lines>894</Lines>
  <Paragraphs>251</Paragraphs>
  <ScaleCrop>false</ScaleCrop>
  <HeadingPairs>
    <vt:vector size="2" baseType="variant">
      <vt:variant>
        <vt:lpstr>Title</vt:lpstr>
      </vt:variant>
      <vt:variant>
        <vt:i4>1</vt:i4>
      </vt:variant>
    </vt:vector>
  </HeadingPairs>
  <TitlesOfParts>
    <vt:vector size="1" baseType="lpstr">
      <vt:lpstr>Main Title</vt:lpstr>
    </vt:vector>
  </TitlesOfParts>
  <Manager/>
  <Company>mpconsulting</Company>
  <LinksUpToDate>false</LinksUpToDate>
  <CharactersWithSpaces>125971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 Title</dc:title>
  <dc:subject/>
  <dc:creator>mpconsulting</dc:creator>
  <cp:keywords/>
  <dc:description/>
  <cp:lastModifiedBy>Riaza Rigby</cp:lastModifiedBy>
  <cp:revision>246</cp:revision>
  <dcterms:created xsi:type="dcterms:W3CDTF">2020-07-22T22:33:00Z</dcterms:created>
  <dcterms:modified xsi:type="dcterms:W3CDTF">2020-08-25T03:06:00Z</dcterms:modified>
  <cp:category/>
</cp:coreProperties>
</file>