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86480" w14:textId="09FFFABB" w:rsidR="000B6D29" w:rsidRPr="006C516E" w:rsidRDefault="000B6D29" w:rsidP="008C6901">
      <w:pPr>
        <w:tabs>
          <w:tab w:val="left" w:pos="5096"/>
        </w:tabs>
        <w:rPr>
          <w:rFonts w:ascii="Arial" w:hAnsi="Arial" w:cs="Arial"/>
        </w:rPr>
      </w:pPr>
    </w:p>
    <w:p w14:paraId="530483D3" w14:textId="77777777" w:rsidR="00CA4FF1" w:rsidRPr="006C516E" w:rsidRDefault="00CA4FF1" w:rsidP="003A3029">
      <w:pPr>
        <w:rPr>
          <w:rFonts w:ascii="Arial" w:hAnsi="Arial" w:cs="Arial"/>
        </w:rPr>
      </w:pPr>
      <w:r w:rsidRPr="006C516E">
        <w:rPr>
          <w:rFonts w:ascii="Arial" w:hAnsi="Arial" w:cs="Arial"/>
          <w:noProof/>
          <w:sz w:val="28"/>
          <w:szCs w:val="28"/>
          <w:lang w:eastAsia="en-AU"/>
        </w:rPr>
        <w:drawing>
          <wp:inline distT="0" distB="0" distL="0" distR="0" wp14:anchorId="2EEB3B70" wp14:editId="1154076A">
            <wp:extent cx="1688400" cy="1119600"/>
            <wp:effectExtent l="0" t="0" r="7620" b="4445"/>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8"/>
                    <a:stretch>
                      <a:fillRect/>
                    </a:stretch>
                  </pic:blipFill>
                  <pic:spPr>
                    <a:xfrm>
                      <a:off x="0" y="0"/>
                      <a:ext cx="1688400" cy="1119600"/>
                    </a:xfrm>
                    <a:prstGeom prst="rect">
                      <a:avLst/>
                    </a:prstGeom>
                  </pic:spPr>
                </pic:pic>
              </a:graphicData>
            </a:graphic>
          </wp:inline>
        </w:drawing>
      </w:r>
    </w:p>
    <w:p w14:paraId="6F422345" w14:textId="3DC28E5A" w:rsidR="00CA4FF1" w:rsidRPr="006C516E" w:rsidRDefault="008A30A2" w:rsidP="007244F3">
      <w:pPr>
        <w:pStyle w:val="Title"/>
        <w:spacing w:before="1920"/>
        <w:contextualSpacing w:val="0"/>
        <w:rPr>
          <w:rFonts w:cs="Arial"/>
          <w:sz w:val="48"/>
          <w:szCs w:val="48"/>
        </w:rPr>
      </w:pPr>
      <w:r w:rsidRPr="006C516E">
        <w:rPr>
          <w:rFonts w:cs="Arial"/>
          <w:sz w:val="48"/>
          <w:szCs w:val="48"/>
        </w:rPr>
        <w:t>P</w:t>
      </w:r>
      <w:r w:rsidR="00CE444D" w:rsidRPr="006C516E">
        <w:rPr>
          <w:rFonts w:cs="Arial"/>
          <w:sz w:val="48"/>
          <w:szCs w:val="48"/>
        </w:rPr>
        <w:t xml:space="preserve">roposal for a new residential aged </w:t>
      </w:r>
      <w:r w:rsidR="00D30B1C" w:rsidRPr="006C516E">
        <w:rPr>
          <w:rFonts w:cs="Arial"/>
          <w:sz w:val="48"/>
          <w:szCs w:val="48"/>
        </w:rPr>
        <w:t xml:space="preserve">care </w:t>
      </w:r>
      <w:r w:rsidR="00CE444D" w:rsidRPr="006C516E">
        <w:rPr>
          <w:rFonts w:cs="Arial"/>
          <w:sz w:val="48"/>
          <w:szCs w:val="48"/>
        </w:rPr>
        <w:t>funding model</w:t>
      </w:r>
    </w:p>
    <w:p w14:paraId="5750044D" w14:textId="77777777" w:rsidR="00E60C2F" w:rsidRPr="006C516E" w:rsidRDefault="00E60C2F" w:rsidP="007244F3">
      <w:pPr>
        <w:pStyle w:val="Title"/>
        <w:spacing w:before="720"/>
        <w:contextualSpacing w:val="0"/>
        <w:rPr>
          <w:rFonts w:cs="Arial"/>
          <w:sz w:val="48"/>
          <w:szCs w:val="48"/>
        </w:rPr>
      </w:pPr>
    </w:p>
    <w:p w14:paraId="33C1F017" w14:textId="77777777" w:rsidR="00CA4FF1" w:rsidRPr="006C516E" w:rsidRDefault="00E60C2F" w:rsidP="007244F3">
      <w:pPr>
        <w:pStyle w:val="Subtitle"/>
        <w:spacing w:before="1200"/>
        <w:jc w:val="center"/>
        <w:rPr>
          <w:rFonts w:ascii="Arial" w:hAnsi="Arial" w:cs="Arial"/>
          <w:b/>
          <w:sz w:val="36"/>
          <w:szCs w:val="36"/>
        </w:rPr>
      </w:pPr>
      <w:r w:rsidRPr="006C516E">
        <w:rPr>
          <w:rFonts w:ascii="Arial" w:hAnsi="Arial" w:cs="Arial"/>
          <w:b/>
          <w:sz w:val="36"/>
          <w:szCs w:val="36"/>
        </w:rPr>
        <w:t>Consultation P</w:t>
      </w:r>
      <w:r w:rsidR="00CA4FF1" w:rsidRPr="006C516E">
        <w:rPr>
          <w:rFonts w:ascii="Arial" w:hAnsi="Arial" w:cs="Arial"/>
          <w:b/>
          <w:sz w:val="36"/>
          <w:szCs w:val="36"/>
        </w:rPr>
        <w:t>aper</w:t>
      </w:r>
    </w:p>
    <w:p w14:paraId="32246E55" w14:textId="77777777" w:rsidR="00CA4FF1" w:rsidRPr="006C516E" w:rsidRDefault="00F850DB" w:rsidP="007244F3">
      <w:pPr>
        <w:pStyle w:val="Subtitle"/>
        <w:jc w:val="center"/>
        <w:rPr>
          <w:rFonts w:ascii="Arial" w:hAnsi="Arial" w:cs="Arial"/>
          <w:b/>
          <w:sz w:val="36"/>
          <w:szCs w:val="36"/>
        </w:rPr>
      </w:pPr>
      <w:r w:rsidRPr="006C516E">
        <w:rPr>
          <w:rFonts w:ascii="Arial" w:hAnsi="Arial" w:cs="Arial"/>
          <w:b/>
          <w:sz w:val="36"/>
          <w:szCs w:val="36"/>
        </w:rPr>
        <w:t>March</w:t>
      </w:r>
      <w:r w:rsidR="00E60C2F" w:rsidRPr="006C516E">
        <w:rPr>
          <w:rFonts w:ascii="Arial" w:hAnsi="Arial" w:cs="Arial"/>
          <w:b/>
          <w:sz w:val="36"/>
          <w:szCs w:val="36"/>
        </w:rPr>
        <w:t xml:space="preserve"> 2019</w:t>
      </w:r>
    </w:p>
    <w:p w14:paraId="3AA993C3" w14:textId="77777777" w:rsidR="00CA4FF1" w:rsidRPr="006C516E" w:rsidRDefault="00CA4FF1" w:rsidP="003A3029">
      <w:pPr>
        <w:rPr>
          <w:rFonts w:ascii="Arial" w:hAnsi="Arial" w:cs="Arial"/>
        </w:rPr>
      </w:pPr>
      <w:r w:rsidRPr="006C516E">
        <w:rPr>
          <w:rFonts w:ascii="Arial" w:hAnsi="Arial" w:cs="Arial"/>
        </w:rPr>
        <w:br w:type="page"/>
      </w:r>
    </w:p>
    <w:sdt>
      <w:sdtPr>
        <w:rPr>
          <w:rFonts w:ascii="Arial" w:eastAsia="Times New Roman" w:hAnsi="Arial" w:cs="Arial"/>
          <w:b w:val="0"/>
          <w:bCs w:val="0"/>
          <w:color w:val="auto"/>
          <w:sz w:val="24"/>
          <w:szCs w:val="24"/>
          <w:lang w:val="en-AU" w:eastAsia="en-US"/>
        </w:rPr>
        <w:id w:val="692349626"/>
        <w:docPartObj>
          <w:docPartGallery w:val="Table of Contents"/>
          <w:docPartUnique/>
        </w:docPartObj>
      </w:sdtPr>
      <w:sdtEndPr>
        <w:rPr>
          <w:noProof/>
        </w:rPr>
      </w:sdtEndPr>
      <w:sdtContent>
        <w:p w14:paraId="1696745D" w14:textId="77777777" w:rsidR="00CA4FF1" w:rsidRPr="006C516E" w:rsidRDefault="00CA4FF1" w:rsidP="003A3029">
          <w:pPr>
            <w:pStyle w:val="TOCHeading"/>
            <w:spacing w:line="360" w:lineRule="auto"/>
            <w:rPr>
              <w:rFonts w:ascii="Arial" w:hAnsi="Arial" w:cs="Arial"/>
              <w:color w:val="auto"/>
            </w:rPr>
          </w:pPr>
          <w:r w:rsidRPr="006C516E">
            <w:rPr>
              <w:rFonts w:ascii="Arial" w:hAnsi="Arial" w:cs="Arial"/>
              <w:color w:val="auto"/>
            </w:rPr>
            <w:t>Contents</w:t>
          </w:r>
        </w:p>
        <w:p w14:paraId="24FAC311" w14:textId="77777777" w:rsidR="000C1CC5" w:rsidRPr="006C516E" w:rsidRDefault="000C1CC5" w:rsidP="003A3029">
          <w:pPr>
            <w:spacing w:line="360" w:lineRule="auto"/>
            <w:rPr>
              <w:rFonts w:ascii="Arial" w:hAnsi="Arial" w:cs="Arial"/>
              <w:lang w:val="en-US" w:eastAsia="ja-JP"/>
            </w:rPr>
          </w:pPr>
        </w:p>
        <w:p w14:paraId="3BE0ADB3" w14:textId="4AB95C3C" w:rsidR="00C11532" w:rsidRDefault="00CA4FF1">
          <w:pPr>
            <w:pStyle w:val="TOC1"/>
            <w:rPr>
              <w:rFonts w:eastAsiaTheme="minorEastAsia" w:cstheme="minorBidi"/>
              <w:noProof/>
              <w:sz w:val="22"/>
              <w:szCs w:val="22"/>
              <w:lang w:eastAsia="en-AU"/>
            </w:rPr>
          </w:pPr>
          <w:r w:rsidRPr="006C516E">
            <w:rPr>
              <w:rFonts w:ascii="Arial" w:hAnsi="Arial" w:cs="Arial"/>
            </w:rPr>
            <w:fldChar w:fldCharType="begin"/>
          </w:r>
          <w:r w:rsidRPr="006C516E">
            <w:rPr>
              <w:rFonts w:ascii="Arial" w:hAnsi="Arial" w:cs="Arial"/>
            </w:rPr>
            <w:instrText xml:space="preserve"> TOC \o "1-3" \h \z \u </w:instrText>
          </w:r>
          <w:r w:rsidRPr="006C516E">
            <w:rPr>
              <w:rFonts w:ascii="Arial" w:hAnsi="Arial" w:cs="Arial"/>
            </w:rPr>
            <w:fldChar w:fldCharType="separate"/>
          </w:r>
          <w:hyperlink w:anchor="_Toc3383708" w:history="1">
            <w:r w:rsidR="00C11532" w:rsidRPr="00B079DF">
              <w:rPr>
                <w:rStyle w:val="Hyperlink"/>
                <w:noProof/>
              </w:rPr>
              <w:t>Abbreviations</w:t>
            </w:r>
            <w:r w:rsidR="00C11532">
              <w:rPr>
                <w:noProof/>
                <w:webHidden/>
              </w:rPr>
              <w:tab/>
            </w:r>
            <w:r w:rsidR="00C11532">
              <w:rPr>
                <w:noProof/>
                <w:webHidden/>
              </w:rPr>
              <w:fldChar w:fldCharType="begin"/>
            </w:r>
            <w:r w:rsidR="00C11532">
              <w:rPr>
                <w:noProof/>
                <w:webHidden/>
              </w:rPr>
              <w:instrText xml:space="preserve"> PAGEREF _Toc3383708 \h </w:instrText>
            </w:r>
            <w:r w:rsidR="00C11532">
              <w:rPr>
                <w:noProof/>
                <w:webHidden/>
              </w:rPr>
            </w:r>
            <w:r w:rsidR="00C11532">
              <w:rPr>
                <w:noProof/>
                <w:webHidden/>
              </w:rPr>
              <w:fldChar w:fldCharType="separate"/>
            </w:r>
            <w:r w:rsidR="00E622FD">
              <w:rPr>
                <w:noProof/>
                <w:webHidden/>
              </w:rPr>
              <w:t>3</w:t>
            </w:r>
            <w:r w:rsidR="00C11532">
              <w:rPr>
                <w:noProof/>
                <w:webHidden/>
              </w:rPr>
              <w:fldChar w:fldCharType="end"/>
            </w:r>
          </w:hyperlink>
        </w:p>
        <w:p w14:paraId="357473CF" w14:textId="62E6A65C" w:rsidR="00C11532" w:rsidRDefault="00E622FD">
          <w:pPr>
            <w:pStyle w:val="TOC1"/>
            <w:rPr>
              <w:rFonts w:eastAsiaTheme="minorEastAsia" w:cstheme="minorBidi"/>
              <w:noProof/>
              <w:sz w:val="22"/>
              <w:szCs w:val="22"/>
              <w:lang w:eastAsia="en-AU"/>
            </w:rPr>
          </w:pPr>
          <w:hyperlink w:anchor="_Toc3383709" w:history="1">
            <w:r w:rsidR="00C11532" w:rsidRPr="00B079DF">
              <w:rPr>
                <w:rStyle w:val="Hyperlink"/>
                <w:noProof/>
              </w:rPr>
              <w:t>Foreword</w:t>
            </w:r>
            <w:r w:rsidR="00C11532">
              <w:rPr>
                <w:noProof/>
                <w:webHidden/>
              </w:rPr>
              <w:tab/>
            </w:r>
            <w:r w:rsidR="00C11532">
              <w:rPr>
                <w:noProof/>
                <w:webHidden/>
              </w:rPr>
              <w:fldChar w:fldCharType="begin"/>
            </w:r>
            <w:r w:rsidR="00C11532">
              <w:rPr>
                <w:noProof/>
                <w:webHidden/>
              </w:rPr>
              <w:instrText xml:space="preserve"> PAGEREF _Toc3383709 \h </w:instrText>
            </w:r>
            <w:r w:rsidR="00C11532">
              <w:rPr>
                <w:noProof/>
                <w:webHidden/>
              </w:rPr>
            </w:r>
            <w:r w:rsidR="00C11532">
              <w:rPr>
                <w:noProof/>
                <w:webHidden/>
              </w:rPr>
              <w:fldChar w:fldCharType="separate"/>
            </w:r>
            <w:r>
              <w:rPr>
                <w:noProof/>
                <w:webHidden/>
              </w:rPr>
              <w:t>4</w:t>
            </w:r>
            <w:r w:rsidR="00C11532">
              <w:rPr>
                <w:noProof/>
                <w:webHidden/>
              </w:rPr>
              <w:fldChar w:fldCharType="end"/>
            </w:r>
          </w:hyperlink>
        </w:p>
        <w:p w14:paraId="4F8BA67D" w14:textId="7B0ED1F2" w:rsidR="00C11532" w:rsidRDefault="00E622FD">
          <w:pPr>
            <w:pStyle w:val="TOC1"/>
            <w:rPr>
              <w:rFonts w:eastAsiaTheme="minorEastAsia" w:cstheme="minorBidi"/>
              <w:noProof/>
              <w:sz w:val="22"/>
              <w:szCs w:val="22"/>
              <w:lang w:eastAsia="en-AU"/>
            </w:rPr>
          </w:pPr>
          <w:hyperlink w:anchor="_Toc3383710" w:history="1">
            <w:r w:rsidR="00C11532" w:rsidRPr="00B079DF">
              <w:rPr>
                <w:rStyle w:val="Hyperlink"/>
                <w:noProof/>
              </w:rPr>
              <w:t>Section 1 – Purpose of this paper</w:t>
            </w:r>
            <w:r w:rsidR="00C11532">
              <w:rPr>
                <w:noProof/>
                <w:webHidden/>
              </w:rPr>
              <w:tab/>
            </w:r>
            <w:r w:rsidR="00C11532">
              <w:rPr>
                <w:noProof/>
                <w:webHidden/>
              </w:rPr>
              <w:fldChar w:fldCharType="begin"/>
            </w:r>
            <w:r w:rsidR="00C11532">
              <w:rPr>
                <w:noProof/>
                <w:webHidden/>
              </w:rPr>
              <w:instrText xml:space="preserve"> PAGEREF _Toc3383710 \h </w:instrText>
            </w:r>
            <w:r w:rsidR="00C11532">
              <w:rPr>
                <w:noProof/>
                <w:webHidden/>
              </w:rPr>
            </w:r>
            <w:r w:rsidR="00C11532">
              <w:rPr>
                <w:noProof/>
                <w:webHidden/>
              </w:rPr>
              <w:fldChar w:fldCharType="separate"/>
            </w:r>
            <w:r>
              <w:rPr>
                <w:noProof/>
                <w:webHidden/>
              </w:rPr>
              <w:t>5</w:t>
            </w:r>
            <w:r w:rsidR="00C11532">
              <w:rPr>
                <w:noProof/>
                <w:webHidden/>
              </w:rPr>
              <w:fldChar w:fldCharType="end"/>
            </w:r>
          </w:hyperlink>
        </w:p>
        <w:p w14:paraId="3B7EDE88" w14:textId="69D1C885" w:rsidR="00C11532" w:rsidRDefault="00E622FD">
          <w:pPr>
            <w:pStyle w:val="TOC1"/>
            <w:rPr>
              <w:rFonts w:eastAsiaTheme="minorEastAsia" w:cstheme="minorBidi"/>
              <w:noProof/>
              <w:sz w:val="22"/>
              <w:szCs w:val="22"/>
              <w:lang w:eastAsia="en-AU"/>
            </w:rPr>
          </w:pPr>
          <w:hyperlink w:anchor="_Toc3383711" w:history="1">
            <w:r w:rsidR="00C11532" w:rsidRPr="00B079DF">
              <w:rPr>
                <w:rStyle w:val="Hyperlink"/>
                <w:noProof/>
              </w:rPr>
              <w:t>Section 2 – How to make a subm</w:t>
            </w:r>
            <w:bookmarkStart w:id="0" w:name="_GoBack"/>
            <w:bookmarkEnd w:id="0"/>
            <w:r w:rsidR="00C11532" w:rsidRPr="00B079DF">
              <w:rPr>
                <w:rStyle w:val="Hyperlink"/>
                <w:noProof/>
              </w:rPr>
              <w:t>ission</w:t>
            </w:r>
            <w:r w:rsidR="00C11532">
              <w:rPr>
                <w:noProof/>
                <w:webHidden/>
              </w:rPr>
              <w:tab/>
            </w:r>
            <w:r w:rsidR="00C11532">
              <w:rPr>
                <w:noProof/>
                <w:webHidden/>
              </w:rPr>
              <w:fldChar w:fldCharType="begin"/>
            </w:r>
            <w:r w:rsidR="00C11532">
              <w:rPr>
                <w:noProof/>
                <w:webHidden/>
              </w:rPr>
              <w:instrText xml:space="preserve"> PAGEREF _Toc3383711 \h </w:instrText>
            </w:r>
            <w:r w:rsidR="00C11532">
              <w:rPr>
                <w:noProof/>
                <w:webHidden/>
              </w:rPr>
            </w:r>
            <w:r w:rsidR="00C11532">
              <w:rPr>
                <w:noProof/>
                <w:webHidden/>
              </w:rPr>
              <w:fldChar w:fldCharType="separate"/>
            </w:r>
            <w:r>
              <w:rPr>
                <w:noProof/>
                <w:webHidden/>
              </w:rPr>
              <w:t>5</w:t>
            </w:r>
            <w:r w:rsidR="00C11532">
              <w:rPr>
                <w:noProof/>
                <w:webHidden/>
              </w:rPr>
              <w:fldChar w:fldCharType="end"/>
            </w:r>
          </w:hyperlink>
        </w:p>
        <w:p w14:paraId="0D2BC813" w14:textId="137A7DC8" w:rsidR="00C11532" w:rsidRDefault="00E622FD">
          <w:pPr>
            <w:pStyle w:val="TOC1"/>
            <w:rPr>
              <w:rFonts w:eastAsiaTheme="minorEastAsia" w:cstheme="minorBidi"/>
              <w:noProof/>
              <w:sz w:val="22"/>
              <w:szCs w:val="22"/>
              <w:lang w:eastAsia="en-AU"/>
            </w:rPr>
          </w:pPr>
          <w:hyperlink w:anchor="_Toc3383712" w:history="1">
            <w:r w:rsidR="00C11532" w:rsidRPr="00B079DF">
              <w:rPr>
                <w:rStyle w:val="Hyperlink"/>
                <w:noProof/>
              </w:rPr>
              <w:t>Section 3 – Structure of this paper</w:t>
            </w:r>
            <w:r w:rsidR="00C11532">
              <w:rPr>
                <w:noProof/>
                <w:webHidden/>
              </w:rPr>
              <w:tab/>
            </w:r>
            <w:r w:rsidR="00C11532">
              <w:rPr>
                <w:noProof/>
                <w:webHidden/>
              </w:rPr>
              <w:fldChar w:fldCharType="begin"/>
            </w:r>
            <w:r w:rsidR="00C11532">
              <w:rPr>
                <w:noProof/>
                <w:webHidden/>
              </w:rPr>
              <w:instrText xml:space="preserve"> PAGEREF _Toc3383712 \h </w:instrText>
            </w:r>
            <w:r w:rsidR="00C11532">
              <w:rPr>
                <w:noProof/>
                <w:webHidden/>
              </w:rPr>
            </w:r>
            <w:r w:rsidR="00C11532">
              <w:rPr>
                <w:noProof/>
                <w:webHidden/>
              </w:rPr>
              <w:fldChar w:fldCharType="separate"/>
            </w:r>
            <w:r>
              <w:rPr>
                <w:noProof/>
                <w:webHidden/>
              </w:rPr>
              <w:t>6</w:t>
            </w:r>
            <w:r w:rsidR="00C11532">
              <w:rPr>
                <w:noProof/>
                <w:webHidden/>
              </w:rPr>
              <w:fldChar w:fldCharType="end"/>
            </w:r>
          </w:hyperlink>
        </w:p>
        <w:p w14:paraId="63A72B03" w14:textId="0B7388F6" w:rsidR="00C11532" w:rsidRDefault="00E622FD">
          <w:pPr>
            <w:pStyle w:val="TOC1"/>
            <w:rPr>
              <w:rFonts w:eastAsiaTheme="minorEastAsia" w:cstheme="minorBidi"/>
              <w:noProof/>
              <w:sz w:val="22"/>
              <w:szCs w:val="22"/>
              <w:lang w:eastAsia="en-AU"/>
            </w:rPr>
          </w:pPr>
          <w:hyperlink w:anchor="_Toc3383713" w:history="1">
            <w:r w:rsidR="00C11532" w:rsidRPr="00B079DF">
              <w:rPr>
                <w:rStyle w:val="Hyperlink"/>
                <w:noProof/>
              </w:rPr>
              <w:t>Section 4 – Background</w:t>
            </w:r>
            <w:r w:rsidR="00C11532">
              <w:rPr>
                <w:noProof/>
                <w:webHidden/>
              </w:rPr>
              <w:tab/>
            </w:r>
            <w:r w:rsidR="00C11532">
              <w:rPr>
                <w:noProof/>
                <w:webHidden/>
              </w:rPr>
              <w:fldChar w:fldCharType="begin"/>
            </w:r>
            <w:r w:rsidR="00C11532">
              <w:rPr>
                <w:noProof/>
                <w:webHidden/>
              </w:rPr>
              <w:instrText xml:space="preserve"> PAGEREF _Toc3383713 \h </w:instrText>
            </w:r>
            <w:r w:rsidR="00C11532">
              <w:rPr>
                <w:noProof/>
                <w:webHidden/>
              </w:rPr>
            </w:r>
            <w:r w:rsidR="00C11532">
              <w:rPr>
                <w:noProof/>
                <w:webHidden/>
              </w:rPr>
              <w:fldChar w:fldCharType="separate"/>
            </w:r>
            <w:r>
              <w:rPr>
                <w:noProof/>
                <w:webHidden/>
              </w:rPr>
              <w:t>8</w:t>
            </w:r>
            <w:r w:rsidR="00C11532">
              <w:rPr>
                <w:noProof/>
                <w:webHidden/>
              </w:rPr>
              <w:fldChar w:fldCharType="end"/>
            </w:r>
          </w:hyperlink>
        </w:p>
        <w:p w14:paraId="1F29EF14" w14:textId="2252654D" w:rsidR="00C11532" w:rsidRDefault="00E622FD">
          <w:pPr>
            <w:pStyle w:val="TOC2"/>
            <w:rPr>
              <w:rFonts w:eastAsiaTheme="minorEastAsia" w:cstheme="minorBidi"/>
              <w:noProof/>
              <w:sz w:val="22"/>
              <w:szCs w:val="22"/>
              <w:lang w:eastAsia="en-AU"/>
            </w:rPr>
          </w:pPr>
          <w:hyperlink w:anchor="_Toc3383714" w:history="1">
            <w:r w:rsidR="00C11532" w:rsidRPr="00B079DF">
              <w:rPr>
                <w:rStyle w:val="Hyperlink"/>
                <w:noProof/>
              </w:rPr>
              <w:t>Part A – The need for funding reform</w:t>
            </w:r>
            <w:r w:rsidR="00C11532">
              <w:rPr>
                <w:noProof/>
                <w:webHidden/>
              </w:rPr>
              <w:tab/>
            </w:r>
            <w:r w:rsidR="00C11532">
              <w:rPr>
                <w:noProof/>
                <w:webHidden/>
              </w:rPr>
              <w:fldChar w:fldCharType="begin"/>
            </w:r>
            <w:r w:rsidR="00C11532">
              <w:rPr>
                <w:noProof/>
                <w:webHidden/>
              </w:rPr>
              <w:instrText xml:space="preserve"> PAGEREF _Toc3383714 \h </w:instrText>
            </w:r>
            <w:r w:rsidR="00C11532">
              <w:rPr>
                <w:noProof/>
                <w:webHidden/>
              </w:rPr>
            </w:r>
            <w:r w:rsidR="00C11532">
              <w:rPr>
                <w:noProof/>
                <w:webHidden/>
              </w:rPr>
              <w:fldChar w:fldCharType="separate"/>
            </w:r>
            <w:r>
              <w:rPr>
                <w:noProof/>
                <w:webHidden/>
              </w:rPr>
              <w:t>8</w:t>
            </w:r>
            <w:r w:rsidR="00C11532">
              <w:rPr>
                <w:noProof/>
                <w:webHidden/>
              </w:rPr>
              <w:fldChar w:fldCharType="end"/>
            </w:r>
          </w:hyperlink>
        </w:p>
        <w:p w14:paraId="26C595B4" w14:textId="13CB8943" w:rsidR="00C11532" w:rsidRDefault="00E622FD">
          <w:pPr>
            <w:pStyle w:val="TOC2"/>
            <w:rPr>
              <w:rFonts w:eastAsiaTheme="minorEastAsia" w:cstheme="minorBidi"/>
              <w:noProof/>
              <w:sz w:val="22"/>
              <w:szCs w:val="22"/>
              <w:lang w:eastAsia="en-AU"/>
            </w:rPr>
          </w:pPr>
          <w:hyperlink w:anchor="_Toc3383715" w:history="1">
            <w:r w:rsidR="00C11532" w:rsidRPr="00B079DF">
              <w:rPr>
                <w:rStyle w:val="Hyperlink"/>
                <w:noProof/>
              </w:rPr>
              <w:t>Part B – The Resource Utilisation and Classification Study</w:t>
            </w:r>
            <w:r w:rsidR="00C11532">
              <w:rPr>
                <w:noProof/>
                <w:webHidden/>
              </w:rPr>
              <w:tab/>
            </w:r>
            <w:r w:rsidR="00C11532">
              <w:rPr>
                <w:noProof/>
                <w:webHidden/>
              </w:rPr>
              <w:fldChar w:fldCharType="begin"/>
            </w:r>
            <w:r w:rsidR="00C11532">
              <w:rPr>
                <w:noProof/>
                <w:webHidden/>
              </w:rPr>
              <w:instrText xml:space="preserve"> PAGEREF _Toc3383715 \h </w:instrText>
            </w:r>
            <w:r w:rsidR="00C11532">
              <w:rPr>
                <w:noProof/>
                <w:webHidden/>
              </w:rPr>
            </w:r>
            <w:r w:rsidR="00C11532">
              <w:rPr>
                <w:noProof/>
                <w:webHidden/>
              </w:rPr>
              <w:fldChar w:fldCharType="separate"/>
            </w:r>
            <w:r>
              <w:rPr>
                <w:noProof/>
                <w:webHidden/>
              </w:rPr>
              <w:t>9</w:t>
            </w:r>
            <w:r w:rsidR="00C11532">
              <w:rPr>
                <w:noProof/>
                <w:webHidden/>
              </w:rPr>
              <w:fldChar w:fldCharType="end"/>
            </w:r>
          </w:hyperlink>
        </w:p>
        <w:p w14:paraId="050CE027" w14:textId="28348C69" w:rsidR="00C11532" w:rsidRDefault="00E622FD">
          <w:pPr>
            <w:pStyle w:val="TOC1"/>
            <w:rPr>
              <w:rFonts w:eastAsiaTheme="minorEastAsia" w:cstheme="minorBidi"/>
              <w:noProof/>
              <w:sz w:val="22"/>
              <w:szCs w:val="22"/>
              <w:lang w:eastAsia="en-AU"/>
            </w:rPr>
          </w:pPr>
          <w:hyperlink w:anchor="_Toc3383716" w:history="1">
            <w:r w:rsidR="00C11532" w:rsidRPr="00B079DF">
              <w:rPr>
                <w:rStyle w:val="Hyperlink"/>
                <w:noProof/>
              </w:rPr>
              <w:t>Section 5 – Introduction to the AN-ACC</w:t>
            </w:r>
            <w:r w:rsidR="00C11532">
              <w:rPr>
                <w:noProof/>
                <w:webHidden/>
              </w:rPr>
              <w:tab/>
            </w:r>
            <w:r w:rsidR="00C11532">
              <w:rPr>
                <w:noProof/>
                <w:webHidden/>
              </w:rPr>
              <w:fldChar w:fldCharType="begin"/>
            </w:r>
            <w:r w:rsidR="00C11532">
              <w:rPr>
                <w:noProof/>
                <w:webHidden/>
              </w:rPr>
              <w:instrText xml:space="preserve"> PAGEREF _Toc3383716 \h </w:instrText>
            </w:r>
            <w:r w:rsidR="00C11532">
              <w:rPr>
                <w:noProof/>
                <w:webHidden/>
              </w:rPr>
            </w:r>
            <w:r w:rsidR="00C11532">
              <w:rPr>
                <w:noProof/>
                <w:webHidden/>
              </w:rPr>
              <w:fldChar w:fldCharType="separate"/>
            </w:r>
            <w:r>
              <w:rPr>
                <w:noProof/>
                <w:webHidden/>
              </w:rPr>
              <w:t>10</w:t>
            </w:r>
            <w:r w:rsidR="00C11532">
              <w:rPr>
                <w:noProof/>
                <w:webHidden/>
              </w:rPr>
              <w:fldChar w:fldCharType="end"/>
            </w:r>
          </w:hyperlink>
        </w:p>
        <w:p w14:paraId="59FFEFC3" w14:textId="4620C535" w:rsidR="00C11532" w:rsidRDefault="00E622FD">
          <w:pPr>
            <w:pStyle w:val="TOC1"/>
            <w:rPr>
              <w:rFonts w:eastAsiaTheme="minorEastAsia" w:cstheme="minorBidi"/>
              <w:noProof/>
              <w:sz w:val="22"/>
              <w:szCs w:val="22"/>
              <w:lang w:eastAsia="en-AU"/>
            </w:rPr>
          </w:pPr>
          <w:hyperlink w:anchor="_Toc3383717" w:history="1">
            <w:r w:rsidR="00C11532" w:rsidRPr="00B079DF">
              <w:rPr>
                <w:rStyle w:val="Hyperlink"/>
                <w:noProof/>
              </w:rPr>
              <w:t>Section 6 – The three components of funding under the proposed model</w:t>
            </w:r>
            <w:r w:rsidR="00C11532">
              <w:rPr>
                <w:noProof/>
                <w:webHidden/>
              </w:rPr>
              <w:tab/>
            </w:r>
            <w:r w:rsidR="00C11532">
              <w:rPr>
                <w:noProof/>
                <w:webHidden/>
              </w:rPr>
              <w:fldChar w:fldCharType="begin"/>
            </w:r>
            <w:r w:rsidR="00C11532">
              <w:rPr>
                <w:noProof/>
                <w:webHidden/>
              </w:rPr>
              <w:instrText xml:space="preserve"> PAGEREF _Toc3383717 \h </w:instrText>
            </w:r>
            <w:r w:rsidR="00C11532">
              <w:rPr>
                <w:noProof/>
                <w:webHidden/>
              </w:rPr>
            </w:r>
            <w:r w:rsidR="00C11532">
              <w:rPr>
                <w:noProof/>
                <w:webHidden/>
              </w:rPr>
              <w:fldChar w:fldCharType="separate"/>
            </w:r>
            <w:r>
              <w:rPr>
                <w:noProof/>
                <w:webHidden/>
              </w:rPr>
              <w:t>11</w:t>
            </w:r>
            <w:r w:rsidR="00C11532">
              <w:rPr>
                <w:noProof/>
                <w:webHidden/>
              </w:rPr>
              <w:fldChar w:fldCharType="end"/>
            </w:r>
          </w:hyperlink>
        </w:p>
        <w:p w14:paraId="4A9E0380" w14:textId="51A4988D" w:rsidR="00C11532" w:rsidRDefault="00E622FD">
          <w:pPr>
            <w:pStyle w:val="TOC1"/>
            <w:rPr>
              <w:rFonts w:eastAsiaTheme="minorEastAsia" w:cstheme="minorBidi"/>
              <w:noProof/>
              <w:sz w:val="22"/>
              <w:szCs w:val="22"/>
              <w:lang w:eastAsia="en-AU"/>
            </w:rPr>
          </w:pPr>
          <w:hyperlink w:anchor="_Toc3383718" w:history="1">
            <w:r w:rsidR="00C11532" w:rsidRPr="00B079DF">
              <w:rPr>
                <w:rStyle w:val="Hyperlink"/>
                <w:noProof/>
              </w:rPr>
              <w:t>Section 7 – How residents would be assessed and classified into classes for the variable payment</w:t>
            </w:r>
            <w:r w:rsidR="00C11532">
              <w:rPr>
                <w:noProof/>
                <w:webHidden/>
              </w:rPr>
              <w:tab/>
            </w:r>
            <w:r w:rsidR="00C11532">
              <w:rPr>
                <w:noProof/>
                <w:webHidden/>
              </w:rPr>
              <w:fldChar w:fldCharType="begin"/>
            </w:r>
            <w:r w:rsidR="00C11532">
              <w:rPr>
                <w:noProof/>
                <w:webHidden/>
              </w:rPr>
              <w:instrText xml:space="preserve"> PAGEREF _Toc3383718 \h </w:instrText>
            </w:r>
            <w:r w:rsidR="00C11532">
              <w:rPr>
                <w:noProof/>
                <w:webHidden/>
              </w:rPr>
            </w:r>
            <w:r w:rsidR="00C11532">
              <w:rPr>
                <w:noProof/>
                <w:webHidden/>
              </w:rPr>
              <w:fldChar w:fldCharType="separate"/>
            </w:r>
            <w:r>
              <w:rPr>
                <w:noProof/>
                <w:webHidden/>
              </w:rPr>
              <w:t>14</w:t>
            </w:r>
            <w:r w:rsidR="00C11532">
              <w:rPr>
                <w:noProof/>
                <w:webHidden/>
              </w:rPr>
              <w:fldChar w:fldCharType="end"/>
            </w:r>
          </w:hyperlink>
        </w:p>
        <w:p w14:paraId="2AF9226A" w14:textId="6197267B" w:rsidR="00C11532" w:rsidRDefault="00E622FD">
          <w:pPr>
            <w:pStyle w:val="TOC1"/>
            <w:rPr>
              <w:rFonts w:eastAsiaTheme="minorEastAsia" w:cstheme="minorBidi"/>
              <w:noProof/>
              <w:sz w:val="22"/>
              <w:szCs w:val="22"/>
              <w:lang w:eastAsia="en-AU"/>
            </w:rPr>
          </w:pPr>
          <w:hyperlink w:anchor="_Toc3383719" w:history="1">
            <w:r w:rsidR="00C11532" w:rsidRPr="00B079DF">
              <w:rPr>
                <w:rStyle w:val="Hyperlink"/>
                <w:noProof/>
              </w:rPr>
              <w:t>Section 8 –National Weighted Activity Units (NWAUs): How Do They Work?</w:t>
            </w:r>
            <w:r w:rsidR="00C11532">
              <w:rPr>
                <w:noProof/>
                <w:webHidden/>
              </w:rPr>
              <w:tab/>
            </w:r>
            <w:r w:rsidR="00C11532">
              <w:rPr>
                <w:noProof/>
                <w:webHidden/>
              </w:rPr>
              <w:fldChar w:fldCharType="begin"/>
            </w:r>
            <w:r w:rsidR="00C11532">
              <w:rPr>
                <w:noProof/>
                <w:webHidden/>
              </w:rPr>
              <w:instrText xml:space="preserve"> PAGEREF _Toc3383719 \h </w:instrText>
            </w:r>
            <w:r w:rsidR="00C11532">
              <w:rPr>
                <w:noProof/>
                <w:webHidden/>
              </w:rPr>
            </w:r>
            <w:r w:rsidR="00C11532">
              <w:rPr>
                <w:noProof/>
                <w:webHidden/>
              </w:rPr>
              <w:fldChar w:fldCharType="separate"/>
            </w:r>
            <w:r>
              <w:rPr>
                <w:noProof/>
                <w:webHidden/>
              </w:rPr>
              <w:t>16</w:t>
            </w:r>
            <w:r w:rsidR="00C11532">
              <w:rPr>
                <w:noProof/>
                <w:webHidden/>
              </w:rPr>
              <w:fldChar w:fldCharType="end"/>
            </w:r>
          </w:hyperlink>
        </w:p>
        <w:p w14:paraId="32A9F8FA" w14:textId="5ADC4F6D" w:rsidR="00C11532" w:rsidRDefault="00E622FD">
          <w:pPr>
            <w:pStyle w:val="TOC1"/>
            <w:rPr>
              <w:rFonts w:eastAsiaTheme="minorEastAsia" w:cstheme="minorBidi"/>
              <w:noProof/>
              <w:sz w:val="22"/>
              <w:szCs w:val="22"/>
              <w:lang w:eastAsia="en-AU"/>
            </w:rPr>
          </w:pPr>
          <w:hyperlink w:anchor="_Toc3383720" w:history="1">
            <w:r w:rsidR="00C11532" w:rsidRPr="00B079DF">
              <w:rPr>
                <w:rStyle w:val="Hyperlink"/>
                <w:noProof/>
              </w:rPr>
              <w:t>Section 9 - Other Supplements and Subsidies</w:t>
            </w:r>
            <w:r w:rsidR="00C11532">
              <w:rPr>
                <w:noProof/>
                <w:webHidden/>
              </w:rPr>
              <w:tab/>
            </w:r>
            <w:r w:rsidR="00C11532">
              <w:rPr>
                <w:noProof/>
                <w:webHidden/>
              </w:rPr>
              <w:fldChar w:fldCharType="begin"/>
            </w:r>
            <w:r w:rsidR="00C11532">
              <w:rPr>
                <w:noProof/>
                <w:webHidden/>
              </w:rPr>
              <w:instrText xml:space="preserve"> PAGEREF _Toc3383720 \h </w:instrText>
            </w:r>
            <w:r w:rsidR="00C11532">
              <w:rPr>
                <w:noProof/>
                <w:webHidden/>
              </w:rPr>
            </w:r>
            <w:r w:rsidR="00C11532">
              <w:rPr>
                <w:noProof/>
                <w:webHidden/>
              </w:rPr>
              <w:fldChar w:fldCharType="separate"/>
            </w:r>
            <w:r>
              <w:rPr>
                <w:noProof/>
                <w:webHidden/>
              </w:rPr>
              <w:t>19</w:t>
            </w:r>
            <w:r w:rsidR="00C11532">
              <w:rPr>
                <w:noProof/>
                <w:webHidden/>
              </w:rPr>
              <w:fldChar w:fldCharType="end"/>
            </w:r>
          </w:hyperlink>
        </w:p>
        <w:p w14:paraId="3DC158B3" w14:textId="0398CB60" w:rsidR="00C11532" w:rsidRDefault="00E622FD">
          <w:pPr>
            <w:pStyle w:val="TOC1"/>
            <w:rPr>
              <w:rFonts w:eastAsiaTheme="minorEastAsia" w:cstheme="minorBidi"/>
              <w:noProof/>
              <w:sz w:val="22"/>
              <w:szCs w:val="22"/>
              <w:lang w:eastAsia="en-AU"/>
            </w:rPr>
          </w:pPr>
          <w:hyperlink w:anchor="_Toc3383721" w:history="1">
            <w:r w:rsidR="00C11532" w:rsidRPr="00B079DF">
              <w:rPr>
                <w:rStyle w:val="Hyperlink"/>
                <w:noProof/>
              </w:rPr>
              <w:t>Section 10 – Implementation and Transition Issues</w:t>
            </w:r>
            <w:r w:rsidR="00C11532">
              <w:rPr>
                <w:noProof/>
                <w:webHidden/>
              </w:rPr>
              <w:tab/>
            </w:r>
            <w:r w:rsidR="00C11532">
              <w:rPr>
                <w:noProof/>
                <w:webHidden/>
              </w:rPr>
              <w:fldChar w:fldCharType="begin"/>
            </w:r>
            <w:r w:rsidR="00C11532">
              <w:rPr>
                <w:noProof/>
                <w:webHidden/>
              </w:rPr>
              <w:instrText xml:space="preserve"> PAGEREF _Toc3383721 \h </w:instrText>
            </w:r>
            <w:r w:rsidR="00C11532">
              <w:rPr>
                <w:noProof/>
                <w:webHidden/>
              </w:rPr>
            </w:r>
            <w:r w:rsidR="00C11532">
              <w:rPr>
                <w:noProof/>
                <w:webHidden/>
              </w:rPr>
              <w:fldChar w:fldCharType="separate"/>
            </w:r>
            <w:r>
              <w:rPr>
                <w:noProof/>
                <w:webHidden/>
              </w:rPr>
              <w:t>21</w:t>
            </w:r>
            <w:r w:rsidR="00C11532">
              <w:rPr>
                <w:noProof/>
                <w:webHidden/>
              </w:rPr>
              <w:fldChar w:fldCharType="end"/>
            </w:r>
          </w:hyperlink>
        </w:p>
        <w:p w14:paraId="3D74A89D" w14:textId="2E6FE43C" w:rsidR="00C11532" w:rsidRDefault="00E622FD">
          <w:pPr>
            <w:pStyle w:val="TOC1"/>
            <w:rPr>
              <w:rFonts w:eastAsiaTheme="minorEastAsia" w:cstheme="minorBidi"/>
              <w:noProof/>
              <w:sz w:val="22"/>
              <w:szCs w:val="22"/>
              <w:lang w:eastAsia="en-AU"/>
            </w:rPr>
          </w:pPr>
          <w:hyperlink w:anchor="_Toc3383722" w:history="1">
            <w:r w:rsidR="00C11532" w:rsidRPr="00B079DF">
              <w:rPr>
                <w:rStyle w:val="Hyperlink"/>
                <w:noProof/>
              </w:rPr>
              <w:t>Section 11 – Implications for care delivery and planning</w:t>
            </w:r>
            <w:r w:rsidR="00C11532">
              <w:rPr>
                <w:noProof/>
                <w:webHidden/>
              </w:rPr>
              <w:tab/>
            </w:r>
            <w:r w:rsidR="00C11532">
              <w:rPr>
                <w:noProof/>
                <w:webHidden/>
              </w:rPr>
              <w:fldChar w:fldCharType="begin"/>
            </w:r>
            <w:r w:rsidR="00C11532">
              <w:rPr>
                <w:noProof/>
                <w:webHidden/>
              </w:rPr>
              <w:instrText xml:space="preserve"> PAGEREF _Toc3383722 \h </w:instrText>
            </w:r>
            <w:r w:rsidR="00C11532">
              <w:rPr>
                <w:noProof/>
                <w:webHidden/>
              </w:rPr>
            </w:r>
            <w:r w:rsidR="00C11532">
              <w:rPr>
                <w:noProof/>
                <w:webHidden/>
              </w:rPr>
              <w:fldChar w:fldCharType="separate"/>
            </w:r>
            <w:r>
              <w:rPr>
                <w:noProof/>
                <w:webHidden/>
              </w:rPr>
              <w:t>22</w:t>
            </w:r>
            <w:r w:rsidR="00C11532">
              <w:rPr>
                <w:noProof/>
                <w:webHidden/>
              </w:rPr>
              <w:fldChar w:fldCharType="end"/>
            </w:r>
          </w:hyperlink>
        </w:p>
        <w:p w14:paraId="3F7563DB" w14:textId="0C5EE23E" w:rsidR="00C11532" w:rsidRDefault="00E622FD">
          <w:pPr>
            <w:pStyle w:val="TOC1"/>
            <w:rPr>
              <w:rFonts w:eastAsiaTheme="minorEastAsia" w:cstheme="minorBidi"/>
              <w:noProof/>
              <w:sz w:val="22"/>
              <w:szCs w:val="22"/>
              <w:lang w:eastAsia="en-AU"/>
            </w:rPr>
          </w:pPr>
          <w:hyperlink w:anchor="_Toc3383723" w:history="1">
            <w:r w:rsidR="00C11532" w:rsidRPr="00B079DF">
              <w:rPr>
                <w:rStyle w:val="Hyperlink"/>
                <w:noProof/>
              </w:rPr>
              <w:t>Attachment A – Background – the Aged Care Funding Instrument (ACFI)</w:t>
            </w:r>
            <w:r w:rsidR="00C11532">
              <w:rPr>
                <w:noProof/>
                <w:webHidden/>
              </w:rPr>
              <w:tab/>
            </w:r>
            <w:r w:rsidR="00C11532">
              <w:rPr>
                <w:noProof/>
                <w:webHidden/>
              </w:rPr>
              <w:fldChar w:fldCharType="begin"/>
            </w:r>
            <w:r w:rsidR="00C11532">
              <w:rPr>
                <w:noProof/>
                <w:webHidden/>
              </w:rPr>
              <w:instrText xml:space="preserve"> PAGEREF _Toc3383723 \h </w:instrText>
            </w:r>
            <w:r w:rsidR="00C11532">
              <w:rPr>
                <w:noProof/>
                <w:webHidden/>
              </w:rPr>
            </w:r>
            <w:r w:rsidR="00C11532">
              <w:rPr>
                <w:noProof/>
                <w:webHidden/>
              </w:rPr>
              <w:fldChar w:fldCharType="separate"/>
            </w:r>
            <w:r>
              <w:rPr>
                <w:noProof/>
                <w:webHidden/>
              </w:rPr>
              <w:t>23</w:t>
            </w:r>
            <w:r w:rsidR="00C11532">
              <w:rPr>
                <w:noProof/>
                <w:webHidden/>
              </w:rPr>
              <w:fldChar w:fldCharType="end"/>
            </w:r>
          </w:hyperlink>
        </w:p>
        <w:p w14:paraId="158493B7" w14:textId="5D6400C8" w:rsidR="00C11532" w:rsidRDefault="00E622FD">
          <w:pPr>
            <w:pStyle w:val="TOC1"/>
            <w:rPr>
              <w:rFonts w:eastAsiaTheme="minorEastAsia" w:cstheme="minorBidi"/>
              <w:noProof/>
              <w:sz w:val="22"/>
              <w:szCs w:val="22"/>
              <w:lang w:eastAsia="en-AU"/>
            </w:rPr>
          </w:pPr>
          <w:hyperlink w:anchor="_Toc3383724" w:history="1">
            <w:r w:rsidR="00C11532" w:rsidRPr="00B079DF">
              <w:rPr>
                <w:rStyle w:val="Hyperlink"/>
                <w:noProof/>
              </w:rPr>
              <w:t>Attachment B – Summary of the RUCS</w:t>
            </w:r>
            <w:r w:rsidR="00C11532">
              <w:rPr>
                <w:noProof/>
                <w:webHidden/>
              </w:rPr>
              <w:tab/>
            </w:r>
            <w:r w:rsidR="00C11532">
              <w:rPr>
                <w:noProof/>
                <w:webHidden/>
              </w:rPr>
              <w:fldChar w:fldCharType="begin"/>
            </w:r>
            <w:r w:rsidR="00C11532">
              <w:rPr>
                <w:noProof/>
                <w:webHidden/>
              </w:rPr>
              <w:instrText xml:space="preserve"> PAGEREF _Toc3383724 \h </w:instrText>
            </w:r>
            <w:r w:rsidR="00C11532">
              <w:rPr>
                <w:noProof/>
                <w:webHidden/>
              </w:rPr>
            </w:r>
            <w:r w:rsidR="00C11532">
              <w:rPr>
                <w:noProof/>
                <w:webHidden/>
              </w:rPr>
              <w:fldChar w:fldCharType="separate"/>
            </w:r>
            <w:r>
              <w:rPr>
                <w:noProof/>
                <w:webHidden/>
              </w:rPr>
              <w:t>26</w:t>
            </w:r>
            <w:r w:rsidR="00C11532">
              <w:rPr>
                <w:noProof/>
                <w:webHidden/>
              </w:rPr>
              <w:fldChar w:fldCharType="end"/>
            </w:r>
          </w:hyperlink>
        </w:p>
        <w:p w14:paraId="1A238E14" w14:textId="5FB38414" w:rsidR="00C11532" w:rsidRDefault="00E622FD">
          <w:pPr>
            <w:pStyle w:val="TOC1"/>
            <w:rPr>
              <w:rFonts w:eastAsiaTheme="minorEastAsia" w:cstheme="minorBidi"/>
              <w:noProof/>
              <w:sz w:val="22"/>
              <w:szCs w:val="22"/>
              <w:lang w:eastAsia="en-AU"/>
            </w:rPr>
          </w:pPr>
          <w:hyperlink w:anchor="_Toc3383725" w:history="1">
            <w:r w:rsidR="00C11532" w:rsidRPr="00B079DF">
              <w:rPr>
                <w:rStyle w:val="Hyperlink"/>
                <w:noProof/>
              </w:rPr>
              <w:t>Attachment C – The RUCS Reports</w:t>
            </w:r>
            <w:r w:rsidR="00C11532">
              <w:rPr>
                <w:noProof/>
                <w:webHidden/>
              </w:rPr>
              <w:tab/>
            </w:r>
            <w:r w:rsidR="00C11532">
              <w:rPr>
                <w:noProof/>
                <w:webHidden/>
              </w:rPr>
              <w:fldChar w:fldCharType="begin"/>
            </w:r>
            <w:r w:rsidR="00C11532">
              <w:rPr>
                <w:noProof/>
                <w:webHidden/>
              </w:rPr>
              <w:instrText xml:space="preserve"> PAGEREF _Toc3383725 \h </w:instrText>
            </w:r>
            <w:r w:rsidR="00C11532">
              <w:rPr>
                <w:noProof/>
                <w:webHidden/>
              </w:rPr>
            </w:r>
            <w:r w:rsidR="00C11532">
              <w:rPr>
                <w:noProof/>
                <w:webHidden/>
              </w:rPr>
              <w:fldChar w:fldCharType="separate"/>
            </w:r>
            <w:r>
              <w:rPr>
                <w:noProof/>
                <w:webHidden/>
              </w:rPr>
              <w:t>27</w:t>
            </w:r>
            <w:r w:rsidR="00C11532">
              <w:rPr>
                <w:noProof/>
                <w:webHidden/>
              </w:rPr>
              <w:fldChar w:fldCharType="end"/>
            </w:r>
          </w:hyperlink>
        </w:p>
        <w:p w14:paraId="610E4A63" w14:textId="748E4976" w:rsidR="00C11532" w:rsidRDefault="00E622FD">
          <w:pPr>
            <w:pStyle w:val="TOC1"/>
            <w:rPr>
              <w:rFonts w:eastAsiaTheme="minorEastAsia" w:cstheme="minorBidi"/>
              <w:noProof/>
              <w:sz w:val="22"/>
              <w:szCs w:val="22"/>
              <w:lang w:eastAsia="en-AU"/>
            </w:rPr>
          </w:pPr>
          <w:hyperlink w:anchor="_Toc3383726" w:history="1">
            <w:r w:rsidR="00C11532" w:rsidRPr="00B079DF">
              <w:rPr>
                <w:rStyle w:val="Hyperlink"/>
                <w:noProof/>
              </w:rPr>
              <w:t>Attachment D – The AN-ACC Assessment Tool</w:t>
            </w:r>
            <w:r w:rsidR="00C11532">
              <w:rPr>
                <w:noProof/>
                <w:webHidden/>
              </w:rPr>
              <w:tab/>
            </w:r>
            <w:r w:rsidR="00C11532">
              <w:rPr>
                <w:noProof/>
                <w:webHidden/>
              </w:rPr>
              <w:fldChar w:fldCharType="begin"/>
            </w:r>
            <w:r w:rsidR="00C11532">
              <w:rPr>
                <w:noProof/>
                <w:webHidden/>
              </w:rPr>
              <w:instrText xml:space="preserve"> PAGEREF _Toc3383726 \h </w:instrText>
            </w:r>
            <w:r w:rsidR="00C11532">
              <w:rPr>
                <w:noProof/>
                <w:webHidden/>
              </w:rPr>
            </w:r>
            <w:r w:rsidR="00C11532">
              <w:rPr>
                <w:noProof/>
                <w:webHidden/>
              </w:rPr>
              <w:fldChar w:fldCharType="separate"/>
            </w:r>
            <w:r>
              <w:rPr>
                <w:noProof/>
                <w:webHidden/>
              </w:rPr>
              <w:t>29</w:t>
            </w:r>
            <w:r w:rsidR="00C11532">
              <w:rPr>
                <w:noProof/>
                <w:webHidden/>
              </w:rPr>
              <w:fldChar w:fldCharType="end"/>
            </w:r>
          </w:hyperlink>
        </w:p>
        <w:p w14:paraId="7C48AFD9" w14:textId="12DD9698" w:rsidR="00C11532" w:rsidRDefault="00E622FD">
          <w:pPr>
            <w:pStyle w:val="TOC1"/>
            <w:rPr>
              <w:rFonts w:eastAsiaTheme="minorEastAsia" w:cstheme="minorBidi"/>
              <w:noProof/>
              <w:sz w:val="22"/>
              <w:szCs w:val="22"/>
              <w:lang w:eastAsia="en-AU"/>
            </w:rPr>
          </w:pPr>
          <w:hyperlink w:anchor="_Toc3383727" w:history="1">
            <w:r w:rsidR="00C11532" w:rsidRPr="00B079DF">
              <w:rPr>
                <w:rStyle w:val="Hyperlink"/>
                <w:noProof/>
              </w:rPr>
              <w:t>Attachment E – AHSRI’s consolidated recommendations</w:t>
            </w:r>
            <w:r w:rsidR="00C11532">
              <w:rPr>
                <w:noProof/>
                <w:webHidden/>
              </w:rPr>
              <w:tab/>
            </w:r>
            <w:r w:rsidR="00C11532">
              <w:rPr>
                <w:noProof/>
                <w:webHidden/>
              </w:rPr>
              <w:fldChar w:fldCharType="begin"/>
            </w:r>
            <w:r w:rsidR="00C11532">
              <w:rPr>
                <w:noProof/>
                <w:webHidden/>
              </w:rPr>
              <w:instrText xml:space="preserve"> PAGEREF _Toc3383727 \h </w:instrText>
            </w:r>
            <w:r w:rsidR="00C11532">
              <w:rPr>
                <w:noProof/>
                <w:webHidden/>
              </w:rPr>
            </w:r>
            <w:r w:rsidR="00C11532">
              <w:rPr>
                <w:noProof/>
                <w:webHidden/>
              </w:rPr>
              <w:fldChar w:fldCharType="separate"/>
            </w:r>
            <w:r>
              <w:rPr>
                <w:noProof/>
                <w:webHidden/>
              </w:rPr>
              <w:t>33</w:t>
            </w:r>
            <w:r w:rsidR="00C11532">
              <w:rPr>
                <w:noProof/>
                <w:webHidden/>
              </w:rPr>
              <w:fldChar w:fldCharType="end"/>
            </w:r>
          </w:hyperlink>
        </w:p>
        <w:p w14:paraId="33D280B4" w14:textId="2F5A7253" w:rsidR="00CA4FF1" w:rsidRPr="006C516E" w:rsidRDefault="00CA4FF1" w:rsidP="003A3029">
          <w:pPr>
            <w:spacing w:line="360" w:lineRule="auto"/>
            <w:rPr>
              <w:rFonts w:ascii="Arial" w:hAnsi="Arial" w:cs="Arial"/>
            </w:rPr>
          </w:pPr>
          <w:r w:rsidRPr="006C516E">
            <w:rPr>
              <w:rFonts w:ascii="Arial" w:hAnsi="Arial" w:cs="Arial"/>
              <w:b/>
              <w:bCs/>
              <w:noProof/>
            </w:rPr>
            <w:fldChar w:fldCharType="end"/>
          </w:r>
        </w:p>
      </w:sdtContent>
    </w:sdt>
    <w:p w14:paraId="2DA04272" w14:textId="77777777" w:rsidR="000C1CC5" w:rsidRPr="006C516E" w:rsidRDefault="000C1CC5" w:rsidP="003A3029">
      <w:pPr>
        <w:rPr>
          <w:rFonts w:ascii="Arial" w:hAnsi="Arial" w:cs="Arial"/>
          <w:b/>
          <w:bCs/>
          <w:kern w:val="28"/>
          <w:sz w:val="32"/>
          <w:szCs w:val="32"/>
        </w:rPr>
      </w:pPr>
      <w:r w:rsidRPr="006C516E">
        <w:rPr>
          <w:rFonts w:ascii="Arial" w:hAnsi="Arial" w:cs="Arial"/>
        </w:rPr>
        <w:br w:type="page"/>
      </w:r>
    </w:p>
    <w:p w14:paraId="7821ED12" w14:textId="77777777" w:rsidR="00CA4FF1" w:rsidRPr="006C516E" w:rsidRDefault="00CA4FF1" w:rsidP="003A3029">
      <w:pPr>
        <w:pStyle w:val="Heading1"/>
      </w:pPr>
      <w:bookmarkStart w:id="1" w:name="_Toc3383708"/>
      <w:r w:rsidRPr="006C516E">
        <w:lastRenderedPageBreak/>
        <w:t>Abbreviations</w:t>
      </w:r>
      <w:bookmarkEnd w:id="1"/>
    </w:p>
    <w:p w14:paraId="4890CDB0" w14:textId="77777777" w:rsidR="00CA4FF1" w:rsidRPr="006C516E" w:rsidRDefault="00CA4FF1" w:rsidP="003A3029">
      <w:pPr>
        <w:rPr>
          <w:rFonts w:ascii="Arial" w:hAnsi="Arial" w:cs="Arial"/>
        </w:rPr>
      </w:pPr>
    </w:p>
    <w:tbl>
      <w:tblPr>
        <w:tblStyle w:val="TableGrid"/>
        <w:tblW w:w="8897" w:type="dxa"/>
        <w:tblLook w:val="04A0" w:firstRow="1" w:lastRow="0" w:firstColumn="1" w:lastColumn="0" w:noHBand="0" w:noVBand="1"/>
        <w:tblCaption w:val="Abbreviations"/>
        <w:tblDescription w:val="Table of abbreviations used in the document. This table is to be read as a series of rows from left to right ('abbreviation' then 'description')."/>
      </w:tblPr>
      <w:tblGrid>
        <w:gridCol w:w="2093"/>
        <w:gridCol w:w="6804"/>
      </w:tblGrid>
      <w:tr w:rsidR="00CA4FF1" w:rsidRPr="006C516E" w14:paraId="79CE3578" w14:textId="77777777" w:rsidTr="00BF0455">
        <w:trPr>
          <w:tblHeader/>
        </w:trPr>
        <w:tc>
          <w:tcPr>
            <w:tcW w:w="2093" w:type="dxa"/>
          </w:tcPr>
          <w:p w14:paraId="762FC668" w14:textId="77777777" w:rsidR="00CA4FF1" w:rsidRPr="006C516E" w:rsidRDefault="00CA4FF1" w:rsidP="003A3029">
            <w:pPr>
              <w:spacing w:after="120"/>
              <w:rPr>
                <w:rFonts w:ascii="Arial" w:hAnsi="Arial" w:cs="Arial"/>
                <w:b/>
                <w:sz w:val="24"/>
              </w:rPr>
            </w:pPr>
            <w:r w:rsidRPr="006C516E">
              <w:rPr>
                <w:rFonts w:ascii="Arial" w:hAnsi="Arial" w:cs="Arial"/>
                <w:b/>
                <w:sz w:val="24"/>
              </w:rPr>
              <w:t>Abbreviation</w:t>
            </w:r>
          </w:p>
        </w:tc>
        <w:tc>
          <w:tcPr>
            <w:tcW w:w="6804" w:type="dxa"/>
          </w:tcPr>
          <w:p w14:paraId="21DB6C15" w14:textId="77777777" w:rsidR="00CA4FF1" w:rsidRPr="006C516E" w:rsidRDefault="00CA4FF1" w:rsidP="003A3029">
            <w:pPr>
              <w:spacing w:after="120"/>
              <w:rPr>
                <w:rFonts w:ascii="Arial" w:hAnsi="Arial" w:cs="Arial"/>
                <w:b/>
                <w:sz w:val="24"/>
              </w:rPr>
            </w:pPr>
            <w:r w:rsidRPr="006C516E">
              <w:rPr>
                <w:rFonts w:ascii="Arial" w:hAnsi="Arial" w:cs="Arial"/>
                <w:b/>
                <w:sz w:val="24"/>
              </w:rPr>
              <w:t>Description</w:t>
            </w:r>
          </w:p>
        </w:tc>
      </w:tr>
      <w:tr w:rsidR="00CA4FF1" w:rsidRPr="006C516E" w14:paraId="71BED489" w14:textId="77777777" w:rsidTr="1613FD00">
        <w:tc>
          <w:tcPr>
            <w:tcW w:w="2093" w:type="dxa"/>
          </w:tcPr>
          <w:p w14:paraId="76E6469C" w14:textId="77777777" w:rsidR="00CA4FF1" w:rsidRPr="006C516E" w:rsidRDefault="00CA4FF1" w:rsidP="003A3029">
            <w:pPr>
              <w:spacing w:after="120"/>
              <w:rPr>
                <w:rFonts w:ascii="Arial" w:hAnsi="Arial" w:cs="Arial"/>
                <w:sz w:val="24"/>
              </w:rPr>
            </w:pPr>
            <w:r w:rsidRPr="006C516E">
              <w:rPr>
                <w:rFonts w:ascii="Arial" w:hAnsi="Arial" w:cs="Arial"/>
                <w:sz w:val="24"/>
              </w:rPr>
              <w:t>ACAR</w:t>
            </w:r>
          </w:p>
        </w:tc>
        <w:tc>
          <w:tcPr>
            <w:tcW w:w="6804" w:type="dxa"/>
          </w:tcPr>
          <w:p w14:paraId="7B2FBEFC" w14:textId="77777777" w:rsidR="00CA4FF1" w:rsidRPr="006C516E" w:rsidRDefault="00CA4FF1" w:rsidP="003A3029">
            <w:pPr>
              <w:spacing w:after="120"/>
              <w:rPr>
                <w:rFonts w:ascii="Arial" w:hAnsi="Arial" w:cs="Arial"/>
                <w:sz w:val="24"/>
              </w:rPr>
            </w:pPr>
            <w:r w:rsidRPr="006C516E">
              <w:rPr>
                <w:rFonts w:ascii="Arial" w:hAnsi="Arial" w:cs="Arial"/>
                <w:sz w:val="24"/>
              </w:rPr>
              <w:t>Aged Care Approvals Round</w:t>
            </w:r>
          </w:p>
        </w:tc>
      </w:tr>
      <w:tr w:rsidR="00CA4FF1" w:rsidRPr="006C516E" w14:paraId="2EFB9350" w14:textId="77777777" w:rsidTr="1613FD00">
        <w:tc>
          <w:tcPr>
            <w:tcW w:w="2093" w:type="dxa"/>
          </w:tcPr>
          <w:p w14:paraId="40EC89E0" w14:textId="77777777" w:rsidR="00CA4FF1" w:rsidRPr="006C516E" w:rsidRDefault="00CA4FF1" w:rsidP="003A3029">
            <w:pPr>
              <w:spacing w:after="120"/>
              <w:rPr>
                <w:rFonts w:ascii="Arial" w:hAnsi="Arial" w:cs="Arial"/>
                <w:sz w:val="24"/>
              </w:rPr>
            </w:pPr>
            <w:r w:rsidRPr="006C516E">
              <w:rPr>
                <w:rFonts w:ascii="Arial" w:hAnsi="Arial" w:cs="Arial"/>
                <w:sz w:val="24"/>
              </w:rPr>
              <w:t>ACAT</w:t>
            </w:r>
          </w:p>
        </w:tc>
        <w:tc>
          <w:tcPr>
            <w:tcW w:w="6804" w:type="dxa"/>
          </w:tcPr>
          <w:p w14:paraId="4D7224D3" w14:textId="77777777" w:rsidR="00CA4FF1" w:rsidRPr="006C516E" w:rsidRDefault="00CA4FF1" w:rsidP="003A3029">
            <w:pPr>
              <w:spacing w:after="120"/>
              <w:rPr>
                <w:rFonts w:ascii="Arial" w:hAnsi="Arial" w:cs="Arial"/>
                <w:sz w:val="24"/>
              </w:rPr>
            </w:pPr>
            <w:r w:rsidRPr="006C516E">
              <w:rPr>
                <w:rFonts w:ascii="Arial" w:hAnsi="Arial" w:cs="Arial"/>
                <w:sz w:val="24"/>
              </w:rPr>
              <w:t>Aged Care Assessment Team</w:t>
            </w:r>
          </w:p>
        </w:tc>
      </w:tr>
      <w:tr w:rsidR="00F560CB" w:rsidRPr="006C516E" w14:paraId="26D3EC84" w14:textId="77777777" w:rsidTr="1613FD00">
        <w:tc>
          <w:tcPr>
            <w:tcW w:w="2093" w:type="dxa"/>
          </w:tcPr>
          <w:p w14:paraId="044F23AE" w14:textId="77777777" w:rsidR="00F560CB" w:rsidRPr="006C516E" w:rsidRDefault="00F560CB" w:rsidP="003A3029">
            <w:pPr>
              <w:spacing w:after="120"/>
              <w:rPr>
                <w:rFonts w:ascii="Arial" w:hAnsi="Arial" w:cs="Arial"/>
                <w:sz w:val="24"/>
              </w:rPr>
            </w:pPr>
            <w:r w:rsidRPr="006C516E">
              <w:rPr>
                <w:rFonts w:ascii="Arial" w:hAnsi="Arial" w:cs="Arial"/>
                <w:sz w:val="24"/>
              </w:rPr>
              <w:t>ACFA</w:t>
            </w:r>
          </w:p>
        </w:tc>
        <w:tc>
          <w:tcPr>
            <w:tcW w:w="6804" w:type="dxa"/>
          </w:tcPr>
          <w:p w14:paraId="6B1885DA" w14:textId="77777777" w:rsidR="00F560CB" w:rsidRPr="006C516E" w:rsidRDefault="00F560CB" w:rsidP="003A3029">
            <w:pPr>
              <w:spacing w:after="120"/>
              <w:rPr>
                <w:rFonts w:ascii="Arial" w:hAnsi="Arial" w:cs="Arial"/>
                <w:sz w:val="24"/>
              </w:rPr>
            </w:pPr>
            <w:r w:rsidRPr="006C516E">
              <w:rPr>
                <w:rFonts w:ascii="Arial" w:hAnsi="Arial" w:cs="Arial"/>
                <w:sz w:val="24"/>
              </w:rPr>
              <w:t xml:space="preserve">Aged Care Financing Authority </w:t>
            </w:r>
          </w:p>
        </w:tc>
      </w:tr>
      <w:tr w:rsidR="00CA4FF1" w:rsidRPr="006C516E" w14:paraId="38A6D87F" w14:textId="77777777" w:rsidTr="1613FD00">
        <w:tc>
          <w:tcPr>
            <w:tcW w:w="2093" w:type="dxa"/>
          </w:tcPr>
          <w:p w14:paraId="2B254238" w14:textId="77777777" w:rsidR="00CA4FF1" w:rsidRPr="006C516E" w:rsidRDefault="00CA4FF1" w:rsidP="003A3029">
            <w:pPr>
              <w:spacing w:after="120"/>
              <w:rPr>
                <w:rFonts w:ascii="Arial" w:hAnsi="Arial" w:cs="Arial"/>
                <w:sz w:val="24"/>
              </w:rPr>
            </w:pPr>
            <w:r w:rsidRPr="006C516E">
              <w:rPr>
                <w:rFonts w:ascii="Arial" w:hAnsi="Arial" w:cs="Arial"/>
                <w:sz w:val="24"/>
              </w:rPr>
              <w:t>ACFI</w:t>
            </w:r>
          </w:p>
        </w:tc>
        <w:tc>
          <w:tcPr>
            <w:tcW w:w="6804" w:type="dxa"/>
          </w:tcPr>
          <w:p w14:paraId="4F6A3602" w14:textId="77777777" w:rsidR="00CA4FF1" w:rsidRPr="006C516E" w:rsidRDefault="00CA4FF1" w:rsidP="003A3029">
            <w:pPr>
              <w:spacing w:after="120"/>
              <w:rPr>
                <w:rFonts w:ascii="Arial" w:hAnsi="Arial" w:cs="Arial"/>
                <w:sz w:val="24"/>
              </w:rPr>
            </w:pPr>
            <w:r w:rsidRPr="006C516E">
              <w:rPr>
                <w:rFonts w:ascii="Arial" w:hAnsi="Arial" w:cs="Arial"/>
                <w:sz w:val="24"/>
              </w:rPr>
              <w:t>Aged Care Funding Instrument</w:t>
            </w:r>
          </w:p>
        </w:tc>
      </w:tr>
      <w:tr w:rsidR="00D35107" w:rsidRPr="006C516E" w14:paraId="77CEB071" w14:textId="77777777" w:rsidTr="1613FD00">
        <w:tc>
          <w:tcPr>
            <w:tcW w:w="2093" w:type="dxa"/>
          </w:tcPr>
          <w:p w14:paraId="73CC5DF2" w14:textId="77777777" w:rsidR="00D35107" w:rsidRPr="006C516E" w:rsidRDefault="00D35107" w:rsidP="003A3029">
            <w:pPr>
              <w:spacing w:after="120"/>
              <w:rPr>
                <w:rFonts w:ascii="Arial" w:hAnsi="Arial" w:cs="Arial"/>
                <w:sz w:val="24"/>
              </w:rPr>
            </w:pPr>
            <w:r w:rsidRPr="006C516E">
              <w:rPr>
                <w:rFonts w:ascii="Arial" w:hAnsi="Arial" w:cs="Arial"/>
                <w:sz w:val="24"/>
              </w:rPr>
              <w:t>ADL</w:t>
            </w:r>
          </w:p>
        </w:tc>
        <w:tc>
          <w:tcPr>
            <w:tcW w:w="6804" w:type="dxa"/>
          </w:tcPr>
          <w:p w14:paraId="023CF6A4" w14:textId="77777777" w:rsidR="00D35107" w:rsidRPr="006C516E" w:rsidRDefault="00D35107" w:rsidP="003A3029">
            <w:pPr>
              <w:spacing w:after="120"/>
              <w:rPr>
                <w:rFonts w:ascii="Arial" w:hAnsi="Arial" w:cs="Arial"/>
                <w:sz w:val="24"/>
              </w:rPr>
            </w:pPr>
            <w:r w:rsidRPr="006C516E">
              <w:rPr>
                <w:rFonts w:ascii="Arial" w:hAnsi="Arial" w:cs="Arial"/>
                <w:sz w:val="24"/>
              </w:rPr>
              <w:t xml:space="preserve">Activities of Daily Living </w:t>
            </w:r>
          </w:p>
        </w:tc>
      </w:tr>
      <w:tr w:rsidR="007809CE" w:rsidRPr="006C516E" w14:paraId="49785BDD" w14:textId="77777777" w:rsidTr="1613FD00">
        <w:tc>
          <w:tcPr>
            <w:tcW w:w="2093" w:type="dxa"/>
          </w:tcPr>
          <w:p w14:paraId="4F53C81A" w14:textId="77777777" w:rsidR="007809CE" w:rsidRPr="006C516E" w:rsidRDefault="007809CE" w:rsidP="003A3029">
            <w:pPr>
              <w:spacing w:after="120"/>
              <w:rPr>
                <w:rFonts w:ascii="Arial" w:hAnsi="Arial" w:cs="Arial"/>
                <w:sz w:val="24"/>
              </w:rPr>
            </w:pPr>
            <w:r w:rsidRPr="006C516E">
              <w:rPr>
                <w:rFonts w:ascii="Arial" w:hAnsi="Arial" w:cs="Arial"/>
                <w:sz w:val="24"/>
              </w:rPr>
              <w:t>AHSRI</w:t>
            </w:r>
          </w:p>
        </w:tc>
        <w:tc>
          <w:tcPr>
            <w:tcW w:w="6804" w:type="dxa"/>
          </w:tcPr>
          <w:p w14:paraId="5C307153" w14:textId="77777777" w:rsidR="007809CE" w:rsidRPr="006C516E" w:rsidRDefault="007809CE" w:rsidP="003A3029">
            <w:pPr>
              <w:spacing w:after="120"/>
              <w:rPr>
                <w:rFonts w:ascii="Arial" w:hAnsi="Arial" w:cs="Arial"/>
                <w:sz w:val="24"/>
              </w:rPr>
            </w:pPr>
            <w:r w:rsidRPr="006C516E">
              <w:rPr>
                <w:rFonts w:ascii="Arial" w:hAnsi="Arial" w:cs="Arial"/>
                <w:sz w:val="24"/>
              </w:rPr>
              <w:t>Australian Health Services Research Institute</w:t>
            </w:r>
          </w:p>
        </w:tc>
      </w:tr>
      <w:tr w:rsidR="00CA4FF1" w:rsidRPr="006C516E" w14:paraId="3B37BBBE" w14:textId="77777777" w:rsidTr="1613FD00">
        <w:tc>
          <w:tcPr>
            <w:tcW w:w="2093" w:type="dxa"/>
          </w:tcPr>
          <w:p w14:paraId="2968F78A" w14:textId="77777777" w:rsidR="00CA4FF1" w:rsidRPr="006C516E" w:rsidRDefault="78CE9E6B" w:rsidP="003A3029">
            <w:pPr>
              <w:spacing w:after="120"/>
              <w:rPr>
                <w:rFonts w:ascii="Arial" w:hAnsi="Arial" w:cs="Arial"/>
                <w:sz w:val="24"/>
              </w:rPr>
            </w:pPr>
            <w:r w:rsidRPr="006C516E">
              <w:rPr>
                <w:rFonts w:ascii="Arial" w:hAnsi="Arial" w:cs="Arial"/>
                <w:sz w:val="24"/>
              </w:rPr>
              <w:t>AN-ACC</w:t>
            </w:r>
          </w:p>
        </w:tc>
        <w:tc>
          <w:tcPr>
            <w:tcW w:w="6804" w:type="dxa"/>
          </w:tcPr>
          <w:p w14:paraId="3AED4332" w14:textId="77777777" w:rsidR="00CA4FF1" w:rsidRPr="006C516E" w:rsidRDefault="78CE9E6B" w:rsidP="003A3029">
            <w:pPr>
              <w:spacing w:after="120"/>
              <w:rPr>
                <w:rFonts w:ascii="Arial" w:hAnsi="Arial" w:cs="Arial"/>
                <w:sz w:val="24"/>
              </w:rPr>
            </w:pPr>
            <w:r w:rsidRPr="006C516E">
              <w:rPr>
                <w:rFonts w:ascii="Arial" w:hAnsi="Arial" w:cs="Arial"/>
                <w:sz w:val="24"/>
              </w:rPr>
              <w:t>Australian National Aged Care Classification</w:t>
            </w:r>
          </w:p>
        </w:tc>
      </w:tr>
      <w:tr w:rsidR="00D35107" w:rsidRPr="006C516E" w14:paraId="797CB116" w14:textId="77777777" w:rsidTr="1613FD00">
        <w:tc>
          <w:tcPr>
            <w:tcW w:w="2093" w:type="dxa"/>
          </w:tcPr>
          <w:p w14:paraId="642A350C" w14:textId="77777777" w:rsidR="00D35107" w:rsidRPr="006C516E" w:rsidRDefault="00D35107" w:rsidP="003A3029">
            <w:pPr>
              <w:spacing w:after="120"/>
              <w:rPr>
                <w:rFonts w:ascii="Arial" w:hAnsi="Arial" w:cs="Arial"/>
                <w:sz w:val="24"/>
              </w:rPr>
            </w:pPr>
            <w:r w:rsidRPr="006C516E">
              <w:rPr>
                <w:rFonts w:ascii="Arial" w:hAnsi="Arial" w:cs="Arial"/>
                <w:sz w:val="24"/>
              </w:rPr>
              <w:t>BEH</w:t>
            </w:r>
          </w:p>
        </w:tc>
        <w:tc>
          <w:tcPr>
            <w:tcW w:w="6804" w:type="dxa"/>
          </w:tcPr>
          <w:p w14:paraId="42420312" w14:textId="77777777" w:rsidR="00D35107" w:rsidRPr="006C516E" w:rsidRDefault="00D35107" w:rsidP="003A3029">
            <w:pPr>
              <w:spacing w:after="120"/>
              <w:rPr>
                <w:rFonts w:ascii="Arial" w:hAnsi="Arial" w:cs="Arial"/>
                <w:sz w:val="24"/>
              </w:rPr>
            </w:pPr>
            <w:r w:rsidRPr="006C516E">
              <w:rPr>
                <w:rFonts w:ascii="Arial" w:hAnsi="Arial" w:cs="Arial"/>
                <w:sz w:val="24"/>
              </w:rPr>
              <w:t xml:space="preserve">Behaviour </w:t>
            </w:r>
          </w:p>
        </w:tc>
      </w:tr>
      <w:tr w:rsidR="00D35107" w:rsidRPr="006C516E" w14:paraId="25C36979" w14:textId="77777777" w:rsidTr="1613FD00">
        <w:tc>
          <w:tcPr>
            <w:tcW w:w="2093" w:type="dxa"/>
          </w:tcPr>
          <w:p w14:paraId="3FA29A3E" w14:textId="77777777" w:rsidR="00D35107" w:rsidRPr="006C516E" w:rsidRDefault="00D35107" w:rsidP="003A3029">
            <w:pPr>
              <w:spacing w:after="120"/>
              <w:rPr>
                <w:rFonts w:ascii="Arial" w:hAnsi="Arial" w:cs="Arial"/>
                <w:sz w:val="24"/>
              </w:rPr>
            </w:pPr>
            <w:r w:rsidRPr="006C516E">
              <w:rPr>
                <w:rFonts w:ascii="Arial" w:hAnsi="Arial" w:cs="Arial"/>
                <w:sz w:val="24"/>
              </w:rPr>
              <w:t>CHC</w:t>
            </w:r>
          </w:p>
        </w:tc>
        <w:tc>
          <w:tcPr>
            <w:tcW w:w="6804" w:type="dxa"/>
          </w:tcPr>
          <w:p w14:paraId="5C042319" w14:textId="77777777" w:rsidR="00D35107" w:rsidRPr="006C516E" w:rsidRDefault="00D35107" w:rsidP="003A3029">
            <w:pPr>
              <w:spacing w:after="120"/>
              <w:rPr>
                <w:rFonts w:ascii="Arial" w:hAnsi="Arial" w:cs="Arial"/>
                <w:sz w:val="24"/>
              </w:rPr>
            </w:pPr>
            <w:r w:rsidRPr="006C516E">
              <w:rPr>
                <w:rFonts w:ascii="Arial" w:hAnsi="Arial" w:cs="Arial"/>
                <w:sz w:val="24"/>
              </w:rPr>
              <w:t xml:space="preserve">Complex Health Care </w:t>
            </w:r>
          </w:p>
        </w:tc>
      </w:tr>
      <w:tr w:rsidR="00CA4FF1" w:rsidRPr="006C516E" w14:paraId="7D990059" w14:textId="77777777" w:rsidTr="1613FD00">
        <w:tc>
          <w:tcPr>
            <w:tcW w:w="2093" w:type="dxa"/>
          </w:tcPr>
          <w:p w14:paraId="54B2164E" w14:textId="77777777" w:rsidR="00CA4FF1" w:rsidRPr="006C516E" w:rsidRDefault="78CE9E6B" w:rsidP="003A3029">
            <w:pPr>
              <w:spacing w:after="120"/>
              <w:rPr>
                <w:rFonts w:ascii="Arial" w:hAnsi="Arial" w:cs="Arial"/>
                <w:sz w:val="24"/>
              </w:rPr>
            </w:pPr>
            <w:r w:rsidRPr="006C516E">
              <w:rPr>
                <w:rFonts w:ascii="Arial" w:hAnsi="Arial" w:cs="Arial"/>
                <w:sz w:val="24"/>
              </w:rPr>
              <w:t>RUCS</w:t>
            </w:r>
          </w:p>
        </w:tc>
        <w:tc>
          <w:tcPr>
            <w:tcW w:w="6804" w:type="dxa"/>
          </w:tcPr>
          <w:p w14:paraId="4F0E95E3" w14:textId="77777777" w:rsidR="00CA4FF1" w:rsidRPr="006C516E" w:rsidRDefault="78CE9E6B" w:rsidP="003A3029">
            <w:pPr>
              <w:spacing w:after="120"/>
              <w:rPr>
                <w:rFonts w:ascii="Arial" w:hAnsi="Arial" w:cs="Arial"/>
                <w:sz w:val="24"/>
              </w:rPr>
            </w:pPr>
            <w:r w:rsidRPr="006C516E">
              <w:rPr>
                <w:rFonts w:ascii="Arial" w:hAnsi="Arial" w:cs="Arial"/>
                <w:sz w:val="24"/>
              </w:rPr>
              <w:t>Resource Utilisation and Classification Study</w:t>
            </w:r>
          </w:p>
        </w:tc>
      </w:tr>
      <w:tr w:rsidR="00CA4FF1" w:rsidRPr="006C516E" w14:paraId="15158B0A" w14:textId="77777777" w:rsidTr="1613FD00">
        <w:tc>
          <w:tcPr>
            <w:tcW w:w="2093" w:type="dxa"/>
          </w:tcPr>
          <w:p w14:paraId="71AF6332" w14:textId="77777777" w:rsidR="00CA4FF1" w:rsidRPr="006C516E" w:rsidRDefault="00F83FEC" w:rsidP="003A3029">
            <w:pPr>
              <w:spacing w:after="120"/>
              <w:rPr>
                <w:rFonts w:ascii="Arial" w:hAnsi="Arial" w:cs="Arial"/>
                <w:sz w:val="24"/>
              </w:rPr>
            </w:pPr>
            <w:r w:rsidRPr="006C516E">
              <w:rPr>
                <w:rFonts w:ascii="Arial" w:hAnsi="Arial" w:cs="Arial"/>
                <w:sz w:val="24"/>
              </w:rPr>
              <w:t>RAS</w:t>
            </w:r>
          </w:p>
        </w:tc>
        <w:tc>
          <w:tcPr>
            <w:tcW w:w="6804" w:type="dxa"/>
          </w:tcPr>
          <w:p w14:paraId="707D6195" w14:textId="77777777" w:rsidR="00CA4FF1" w:rsidRPr="006C516E" w:rsidRDefault="00F83FEC" w:rsidP="003A3029">
            <w:pPr>
              <w:spacing w:after="120"/>
              <w:rPr>
                <w:rFonts w:ascii="Arial" w:hAnsi="Arial" w:cs="Arial"/>
                <w:sz w:val="24"/>
              </w:rPr>
            </w:pPr>
            <w:r w:rsidRPr="006C516E">
              <w:rPr>
                <w:rFonts w:ascii="Arial" w:hAnsi="Arial" w:cs="Arial"/>
                <w:sz w:val="24"/>
              </w:rPr>
              <w:t xml:space="preserve">Regional Assessment Service </w:t>
            </w:r>
          </w:p>
        </w:tc>
      </w:tr>
      <w:tr w:rsidR="00CA4FF1" w:rsidRPr="006C516E" w14:paraId="376E9345" w14:textId="77777777" w:rsidTr="1613FD00">
        <w:tc>
          <w:tcPr>
            <w:tcW w:w="2093" w:type="dxa"/>
          </w:tcPr>
          <w:p w14:paraId="7683C67C" w14:textId="77777777" w:rsidR="00CA4FF1" w:rsidRPr="006C516E" w:rsidRDefault="00F850DB" w:rsidP="003A3029">
            <w:pPr>
              <w:spacing w:after="120"/>
              <w:rPr>
                <w:rFonts w:ascii="Arial" w:hAnsi="Arial" w:cs="Arial"/>
                <w:sz w:val="24"/>
              </w:rPr>
            </w:pPr>
            <w:r w:rsidRPr="006C516E">
              <w:rPr>
                <w:rFonts w:ascii="Arial" w:hAnsi="Arial" w:cs="Arial"/>
                <w:sz w:val="24"/>
              </w:rPr>
              <w:t>MMM</w:t>
            </w:r>
          </w:p>
        </w:tc>
        <w:tc>
          <w:tcPr>
            <w:tcW w:w="6804" w:type="dxa"/>
          </w:tcPr>
          <w:p w14:paraId="38628AAB" w14:textId="77777777" w:rsidR="00CA4FF1" w:rsidRPr="006C516E" w:rsidRDefault="007809CE" w:rsidP="003A3029">
            <w:pPr>
              <w:spacing w:after="120"/>
              <w:rPr>
                <w:rFonts w:ascii="Arial" w:hAnsi="Arial" w:cs="Arial"/>
                <w:sz w:val="24"/>
              </w:rPr>
            </w:pPr>
            <w:r w:rsidRPr="006C516E">
              <w:rPr>
                <w:rFonts w:ascii="Arial" w:hAnsi="Arial" w:cs="Arial"/>
                <w:sz w:val="24"/>
              </w:rPr>
              <w:t>Modified Monash Model</w:t>
            </w:r>
          </w:p>
        </w:tc>
      </w:tr>
      <w:tr w:rsidR="00CA4FF1" w:rsidRPr="006C516E" w14:paraId="6A5C1FE2" w14:textId="77777777" w:rsidTr="1613FD00">
        <w:tc>
          <w:tcPr>
            <w:tcW w:w="2093" w:type="dxa"/>
          </w:tcPr>
          <w:p w14:paraId="28148D0B" w14:textId="77777777" w:rsidR="00CA4FF1" w:rsidRPr="006C516E" w:rsidDel="00687F1A" w:rsidRDefault="00F850DB" w:rsidP="003A3029">
            <w:pPr>
              <w:spacing w:after="120"/>
              <w:rPr>
                <w:rFonts w:ascii="Arial" w:hAnsi="Arial" w:cs="Arial"/>
                <w:sz w:val="24"/>
              </w:rPr>
            </w:pPr>
            <w:r w:rsidRPr="006C516E">
              <w:rPr>
                <w:rFonts w:ascii="Arial" w:hAnsi="Arial" w:cs="Arial"/>
                <w:sz w:val="24"/>
              </w:rPr>
              <w:t>NWAU</w:t>
            </w:r>
          </w:p>
        </w:tc>
        <w:tc>
          <w:tcPr>
            <w:tcW w:w="6804" w:type="dxa"/>
          </w:tcPr>
          <w:p w14:paraId="3773A3B5" w14:textId="77777777" w:rsidR="00CA4FF1" w:rsidRPr="006C516E" w:rsidDel="00687F1A" w:rsidRDefault="007809CE" w:rsidP="003A3029">
            <w:pPr>
              <w:spacing w:after="120"/>
              <w:rPr>
                <w:rFonts w:ascii="Arial" w:hAnsi="Arial" w:cs="Arial"/>
                <w:sz w:val="24"/>
              </w:rPr>
            </w:pPr>
            <w:r w:rsidRPr="006C516E">
              <w:rPr>
                <w:rFonts w:ascii="Arial" w:hAnsi="Arial" w:cs="Arial"/>
                <w:sz w:val="24"/>
              </w:rPr>
              <w:t>National Weighted Activity Unit</w:t>
            </w:r>
          </w:p>
        </w:tc>
      </w:tr>
      <w:tr w:rsidR="00CA4FF1" w:rsidRPr="006C516E" w14:paraId="3DBF1181" w14:textId="77777777" w:rsidTr="1613FD00">
        <w:tc>
          <w:tcPr>
            <w:tcW w:w="2093" w:type="dxa"/>
          </w:tcPr>
          <w:p w14:paraId="6B4005BA" w14:textId="77777777" w:rsidR="00CA4FF1" w:rsidRPr="006C516E" w:rsidRDefault="00F850DB" w:rsidP="003A3029">
            <w:pPr>
              <w:spacing w:after="120"/>
              <w:rPr>
                <w:rFonts w:ascii="Arial" w:hAnsi="Arial" w:cs="Arial"/>
                <w:sz w:val="24"/>
              </w:rPr>
            </w:pPr>
            <w:r w:rsidRPr="006C516E">
              <w:rPr>
                <w:rFonts w:ascii="Arial" w:hAnsi="Arial" w:cs="Arial"/>
                <w:sz w:val="24"/>
              </w:rPr>
              <w:t>RCS</w:t>
            </w:r>
          </w:p>
        </w:tc>
        <w:tc>
          <w:tcPr>
            <w:tcW w:w="6804" w:type="dxa"/>
          </w:tcPr>
          <w:p w14:paraId="1228AE9A" w14:textId="77777777" w:rsidR="00CA4FF1" w:rsidRPr="006C516E" w:rsidRDefault="007809CE" w:rsidP="003A3029">
            <w:pPr>
              <w:spacing w:after="120"/>
              <w:rPr>
                <w:rFonts w:ascii="Arial" w:hAnsi="Arial" w:cs="Arial"/>
                <w:sz w:val="24"/>
              </w:rPr>
            </w:pPr>
            <w:r w:rsidRPr="006C516E">
              <w:rPr>
                <w:rFonts w:ascii="Arial" w:hAnsi="Arial" w:cs="Arial"/>
                <w:sz w:val="24"/>
              </w:rPr>
              <w:t>Resident Classification Scale</w:t>
            </w:r>
          </w:p>
        </w:tc>
      </w:tr>
    </w:tbl>
    <w:p w14:paraId="660F473F" w14:textId="77777777" w:rsidR="00CA4FF1" w:rsidRPr="006C516E" w:rsidRDefault="00CA4FF1" w:rsidP="003A3029">
      <w:pPr>
        <w:rPr>
          <w:rFonts w:ascii="Arial" w:hAnsi="Arial" w:cs="Arial"/>
        </w:rPr>
      </w:pPr>
    </w:p>
    <w:p w14:paraId="732D1D5E" w14:textId="77777777" w:rsidR="00CA4FF1" w:rsidRPr="006C516E" w:rsidRDefault="00CA4FF1" w:rsidP="003A3029">
      <w:pPr>
        <w:rPr>
          <w:rFonts w:ascii="Arial" w:hAnsi="Arial" w:cs="Arial"/>
          <w:b/>
          <w:bCs/>
          <w:kern w:val="28"/>
          <w:sz w:val="28"/>
          <w:szCs w:val="32"/>
        </w:rPr>
      </w:pPr>
      <w:r w:rsidRPr="006C516E">
        <w:rPr>
          <w:rFonts w:ascii="Arial" w:hAnsi="Arial" w:cs="Arial"/>
        </w:rPr>
        <w:br w:type="page"/>
      </w:r>
    </w:p>
    <w:p w14:paraId="24CC850E" w14:textId="31BFF491" w:rsidR="0036128F" w:rsidRPr="006C516E" w:rsidRDefault="0036128F" w:rsidP="003A3029">
      <w:pPr>
        <w:pStyle w:val="Heading1"/>
        <w:spacing w:after="120"/>
      </w:pPr>
      <w:bookmarkStart w:id="2" w:name="_Introduction"/>
      <w:bookmarkStart w:id="3" w:name="_Toc3383709"/>
      <w:bookmarkEnd w:id="2"/>
      <w:r w:rsidRPr="006C516E">
        <w:lastRenderedPageBreak/>
        <w:t>Foreword</w:t>
      </w:r>
      <w:bookmarkEnd w:id="3"/>
    </w:p>
    <w:p w14:paraId="46301D25" w14:textId="77777777" w:rsidR="00586CE9" w:rsidRDefault="00390986" w:rsidP="00390986">
      <w:pPr>
        <w:rPr>
          <w:rFonts w:ascii="Arial" w:hAnsi="Arial" w:cs="Arial"/>
          <w:szCs w:val="28"/>
        </w:rPr>
      </w:pPr>
      <w:r w:rsidRPr="006C516E">
        <w:rPr>
          <w:rFonts w:ascii="Arial" w:hAnsi="Arial" w:cs="Arial"/>
          <w:szCs w:val="28"/>
        </w:rPr>
        <w:t xml:space="preserve">I am very excited by the </w:t>
      </w:r>
      <w:r w:rsidR="00586CE9">
        <w:rPr>
          <w:rFonts w:ascii="Arial" w:hAnsi="Arial" w:cs="Arial"/>
          <w:szCs w:val="28"/>
        </w:rPr>
        <w:t xml:space="preserve">results of the </w:t>
      </w:r>
      <w:r w:rsidRPr="006C516E">
        <w:rPr>
          <w:rFonts w:ascii="Arial" w:hAnsi="Arial" w:cs="Arial"/>
          <w:szCs w:val="28"/>
        </w:rPr>
        <w:t xml:space="preserve">University of Wollongong’s </w:t>
      </w:r>
      <w:r w:rsidR="00C75B7C" w:rsidRPr="006C516E">
        <w:rPr>
          <w:rFonts w:ascii="Arial" w:hAnsi="Arial" w:cs="Arial"/>
          <w:szCs w:val="28"/>
        </w:rPr>
        <w:t>Resource Utilisation and Classification Study (</w:t>
      </w:r>
      <w:r w:rsidRPr="006C516E">
        <w:rPr>
          <w:rFonts w:ascii="Arial" w:hAnsi="Arial" w:cs="Arial"/>
          <w:szCs w:val="28"/>
        </w:rPr>
        <w:t>RUCS</w:t>
      </w:r>
      <w:r w:rsidR="00C75B7C" w:rsidRPr="006C516E">
        <w:rPr>
          <w:rFonts w:ascii="Arial" w:hAnsi="Arial" w:cs="Arial"/>
          <w:szCs w:val="28"/>
        </w:rPr>
        <w:t>) and the proposed new funding model Australian National Aged Care Classification (AN-ACC)</w:t>
      </w:r>
      <w:r w:rsidR="00586CE9">
        <w:rPr>
          <w:rFonts w:ascii="Arial" w:hAnsi="Arial" w:cs="Arial"/>
          <w:szCs w:val="28"/>
        </w:rPr>
        <w:t>.</w:t>
      </w:r>
    </w:p>
    <w:p w14:paraId="3065C498" w14:textId="77777777" w:rsidR="00586CE9" w:rsidRDefault="00586CE9" w:rsidP="00390986">
      <w:pPr>
        <w:rPr>
          <w:rFonts w:ascii="Arial" w:hAnsi="Arial" w:cs="Arial"/>
          <w:szCs w:val="28"/>
        </w:rPr>
      </w:pPr>
    </w:p>
    <w:p w14:paraId="6128B039" w14:textId="7E065B71" w:rsidR="00586CE9" w:rsidRDefault="00586CE9" w:rsidP="00390986">
      <w:pPr>
        <w:rPr>
          <w:rFonts w:ascii="Arial" w:hAnsi="Arial" w:cs="Arial"/>
          <w:szCs w:val="28"/>
        </w:rPr>
      </w:pPr>
      <w:r>
        <w:rPr>
          <w:rFonts w:ascii="Arial" w:hAnsi="Arial" w:cs="Arial"/>
          <w:szCs w:val="28"/>
        </w:rPr>
        <w:t xml:space="preserve">When I announced this study in August 2017 I noted that </w:t>
      </w:r>
      <w:r w:rsidR="00145937">
        <w:rPr>
          <w:rFonts w:ascii="Arial" w:hAnsi="Arial" w:cs="Arial"/>
          <w:szCs w:val="28"/>
        </w:rPr>
        <w:t xml:space="preserve">it </w:t>
      </w:r>
      <w:r>
        <w:rPr>
          <w:rFonts w:ascii="Arial" w:hAnsi="Arial" w:cs="Arial"/>
          <w:szCs w:val="28"/>
        </w:rPr>
        <w:t>w</w:t>
      </w:r>
      <w:r w:rsidR="00145937">
        <w:rPr>
          <w:rFonts w:ascii="Arial" w:hAnsi="Arial" w:cs="Arial"/>
          <w:szCs w:val="28"/>
        </w:rPr>
        <w:t xml:space="preserve">ould be </w:t>
      </w:r>
      <w:r>
        <w:rPr>
          <w:rFonts w:ascii="Arial" w:hAnsi="Arial" w:cs="Arial"/>
          <w:szCs w:val="28"/>
        </w:rPr>
        <w:t xml:space="preserve">the first </w:t>
      </w:r>
      <w:r w:rsidR="00145937">
        <w:rPr>
          <w:rFonts w:ascii="Arial" w:hAnsi="Arial" w:cs="Arial"/>
          <w:szCs w:val="28"/>
        </w:rPr>
        <w:t xml:space="preserve">study of </w:t>
      </w:r>
      <w:r>
        <w:rPr>
          <w:rFonts w:ascii="Arial" w:hAnsi="Arial" w:cs="Arial"/>
          <w:szCs w:val="28"/>
        </w:rPr>
        <w:t xml:space="preserve">relative costs </w:t>
      </w:r>
      <w:r w:rsidR="00145937">
        <w:rPr>
          <w:rFonts w:ascii="Arial" w:hAnsi="Arial" w:cs="Arial"/>
          <w:szCs w:val="28"/>
        </w:rPr>
        <w:t xml:space="preserve">in the aged care sector </w:t>
      </w:r>
      <w:r>
        <w:rPr>
          <w:rFonts w:ascii="Arial" w:hAnsi="Arial" w:cs="Arial"/>
          <w:szCs w:val="28"/>
        </w:rPr>
        <w:t xml:space="preserve">since the 1990s. The university has </w:t>
      </w:r>
      <w:r w:rsidR="00145937">
        <w:rPr>
          <w:rFonts w:ascii="Arial" w:hAnsi="Arial" w:cs="Arial"/>
          <w:szCs w:val="28"/>
        </w:rPr>
        <w:t xml:space="preserve">delivered </w:t>
      </w:r>
      <w:r>
        <w:rPr>
          <w:rFonts w:ascii="Arial" w:hAnsi="Arial" w:cs="Arial"/>
          <w:szCs w:val="28"/>
        </w:rPr>
        <w:t>a very comprehensive study, and I would like to personally thank everyone who has been involved, including the r</w:t>
      </w:r>
      <w:r w:rsidR="00145937">
        <w:rPr>
          <w:rFonts w:ascii="Arial" w:hAnsi="Arial" w:cs="Arial"/>
          <w:szCs w:val="28"/>
        </w:rPr>
        <w:t>esearch team</w:t>
      </w:r>
      <w:r>
        <w:rPr>
          <w:rFonts w:ascii="Arial" w:hAnsi="Arial" w:cs="Arial"/>
          <w:szCs w:val="28"/>
        </w:rPr>
        <w:t xml:space="preserve"> at the university and each one of the residential aged care facilities and </w:t>
      </w:r>
      <w:r w:rsidR="00145937">
        <w:rPr>
          <w:rFonts w:ascii="Arial" w:hAnsi="Arial" w:cs="Arial"/>
          <w:szCs w:val="28"/>
        </w:rPr>
        <w:t xml:space="preserve">individual </w:t>
      </w:r>
      <w:r>
        <w:rPr>
          <w:rFonts w:ascii="Arial" w:hAnsi="Arial" w:cs="Arial"/>
          <w:szCs w:val="28"/>
        </w:rPr>
        <w:t xml:space="preserve">residents who agreed to participate. I strongly believe that this research will be a “game changer” for aged care, much as the introduction of activity-based funding was for the </w:t>
      </w:r>
      <w:r w:rsidR="00145937">
        <w:rPr>
          <w:rFonts w:ascii="Arial" w:hAnsi="Arial" w:cs="Arial"/>
          <w:szCs w:val="28"/>
        </w:rPr>
        <w:t>hospital</w:t>
      </w:r>
      <w:r>
        <w:rPr>
          <w:rFonts w:ascii="Arial" w:hAnsi="Arial" w:cs="Arial"/>
          <w:szCs w:val="28"/>
        </w:rPr>
        <w:t xml:space="preserve"> system more than twenty years ago.</w:t>
      </w:r>
    </w:p>
    <w:p w14:paraId="03740F5A" w14:textId="77777777" w:rsidR="00586CE9" w:rsidRDefault="00586CE9" w:rsidP="00390986">
      <w:pPr>
        <w:rPr>
          <w:rFonts w:ascii="Arial" w:hAnsi="Arial" w:cs="Arial"/>
          <w:szCs w:val="28"/>
        </w:rPr>
      </w:pPr>
    </w:p>
    <w:p w14:paraId="4CB0FC25" w14:textId="5627815A" w:rsidR="00145937" w:rsidRPr="006C516E" w:rsidRDefault="00145937" w:rsidP="00145937">
      <w:pPr>
        <w:rPr>
          <w:rFonts w:ascii="Arial" w:hAnsi="Arial" w:cs="Arial"/>
          <w:szCs w:val="28"/>
        </w:rPr>
      </w:pPr>
      <w:r w:rsidRPr="006C516E">
        <w:rPr>
          <w:rFonts w:ascii="Arial" w:hAnsi="Arial" w:cs="Arial"/>
          <w:szCs w:val="28"/>
        </w:rPr>
        <w:t xml:space="preserve">The AN-ACC is potentially a completely different way of allocating funding for residential aged care, </w:t>
      </w:r>
      <w:r>
        <w:rPr>
          <w:rFonts w:ascii="Arial" w:hAnsi="Arial" w:cs="Arial"/>
          <w:szCs w:val="28"/>
        </w:rPr>
        <w:t>which</w:t>
      </w:r>
      <w:r w:rsidRPr="006C516E">
        <w:rPr>
          <w:rFonts w:ascii="Arial" w:hAnsi="Arial" w:cs="Arial"/>
          <w:szCs w:val="28"/>
        </w:rPr>
        <w:t xml:space="preserve"> will remove flaws in the Aged Care Funding Instrument, including </w:t>
      </w:r>
      <w:r>
        <w:rPr>
          <w:rFonts w:ascii="Arial" w:hAnsi="Arial" w:cs="Arial"/>
          <w:szCs w:val="28"/>
        </w:rPr>
        <w:t xml:space="preserve">the </w:t>
      </w:r>
      <w:r w:rsidRPr="006C516E">
        <w:rPr>
          <w:rFonts w:ascii="Arial" w:hAnsi="Arial" w:cs="Arial"/>
          <w:szCs w:val="28"/>
        </w:rPr>
        <w:t>complex and time consuming assessment process and perverse incentives.</w:t>
      </w:r>
    </w:p>
    <w:p w14:paraId="4D8C0B16" w14:textId="77777777" w:rsidR="00145937" w:rsidRDefault="00145937" w:rsidP="00390986">
      <w:pPr>
        <w:rPr>
          <w:rFonts w:ascii="Arial" w:hAnsi="Arial" w:cs="Arial"/>
          <w:szCs w:val="28"/>
        </w:rPr>
      </w:pPr>
    </w:p>
    <w:p w14:paraId="5FFD1441" w14:textId="3C2EA19C" w:rsidR="00390986" w:rsidRPr="006C516E" w:rsidRDefault="00390986" w:rsidP="00390986">
      <w:pPr>
        <w:rPr>
          <w:rFonts w:ascii="Arial" w:hAnsi="Arial" w:cs="Arial"/>
          <w:szCs w:val="28"/>
        </w:rPr>
      </w:pPr>
      <w:r w:rsidRPr="006C516E">
        <w:rPr>
          <w:rFonts w:ascii="Arial" w:hAnsi="Arial" w:cs="Arial"/>
          <w:szCs w:val="28"/>
        </w:rPr>
        <w:t xml:space="preserve">I appreciate that we </w:t>
      </w:r>
      <w:r w:rsidR="00145937">
        <w:rPr>
          <w:rFonts w:ascii="Arial" w:hAnsi="Arial" w:cs="Arial"/>
          <w:szCs w:val="28"/>
        </w:rPr>
        <w:t>– the aged care sector and the Government – still have a lot of hard work to d</w:t>
      </w:r>
      <w:r w:rsidRPr="006C516E">
        <w:rPr>
          <w:rFonts w:ascii="Arial" w:hAnsi="Arial" w:cs="Arial"/>
          <w:szCs w:val="28"/>
        </w:rPr>
        <w:t xml:space="preserve">o </w:t>
      </w:r>
      <w:r w:rsidR="00145937">
        <w:rPr>
          <w:rFonts w:ascii="Arial" w:hAnsi="Arial" w:cs="Arial"/>
          <w:szCs w:val="28"/>
        </w:rPr>
        <w:t xml:space="preserve">before </w:t>
      </w:r>
      <w:r w:rsidRPr="006C516E">
        <w:rPr>
          <w:rFonts w:ascii="Arial" w:hAnsi="Arial" w:cs="Arial"/>
          <w:szCs w:val="28"/>
        </w:rPr>
        <w:t xml:space="preserve">the </w:t>
      </w:r>
      <w:r w:rsidR="00C75B7C" w:rsidRPr="006C516E">
        <w:rPr>
          <w:rFonts w:ascii="Arial" w:hAnsi="Arial" w:cs="Arial"/>
          <w:szCs w:val="28"/>
        </w:rPr>
        <w:t xml:space="preserve">AN-ACC </w:t>
      </w:r>
      <w:r w:rsidR="00145937">
        <w:rPr>
          <w:rFonts w:ascii="Arial" w:hAnsi="Arial" w:cs="Arial"/>
          <w:szCs w:val="28"/>
        </w:rPr>
        <w:t xml:space="preserve">can </w:t>
      </w:r>
      <w:r w:rsidR="00C75B7C" w:rsidRPr="006C516E">
        <w:rPr>
          <w:rFonts w:ascii="Arial" w:hAnsi="Arial" w:cs="Arial"/>
          <w:szCs w:val="28"/>
        </w:rPr>
        <w:t>be</w:t>
      </w:r>
      <w:r w:rsidRPr="006C516E">
        <w:rPr>
          <w:rFonts w:ascii="Arial" w:hAnsi="Arial" w:cs="Arial"/>
          <w:szCs w:val="28"/>
        </w:rPr>
        <w:t xml:space="preserve"> implemented</w:t>
      </w:r>
      <w:r w:rsidR="00145937">
        <w:rPr>
          <w:rFonts w:ascii="Arial" w:hAnsi="Arial" w:cs="Arial"/>
          <w:szCs w:val="28"/>
        </w:rPr>
        <w:t>. B</w:t>
      </w:r>
      <w:r w:rsidRPr="006C516E">
        <w:rPr>
          <w:rFonts w:ascii="Arial" w:hAnsi="Arial" w:cs="Arial"/>
          <w:szCs w:val="28"/>
        </w:rPr>
        <w:t xml:space="preserve">ut </w:t>
      </w:r>
      <w:r w:rsidR="00145937">
        <w:rPr>
          <w:rFonts w:ascii="Arial" w:hAnsi="Arial" w:cs="Arial"/>
          <w:szCs w:val="28"/>
        </w:rPr>
        <w:t>there is no doubt in my mind that implementing</w:t>
      </w:r>
      <w:r w:rsidRPr="006C516E">
        <w:rPr>
          <w:rFonts w:ascii="Arial" w:hAnsi="Arial" w:cs="Arial"/>
          <w:szCs w:val="28"/>
        </w:rPr>
        <w:t xml:space="preserve"> </w:t>
      </w:r>
      <w:r w:rsidR="00C75B7C" w:rsidRPr="006C516E">
        <w:rPr>
          <w:rFonts w:ascii="Arial" w:hAnsi="Arial" w:cs="Arial"/>
          <w:szCs w:val="28"/>
        </w:rPr>
        <w:t xml:space="preserve">the AN-ACC </w:t>
      </w:r>
      <w:r w:rsidR="00145937">
        <w:rPr>
          <w:rFonts w:ascii="Arial" w:hAnsi="Arial" w:cs="Arial"/>
          <w:szCs w:val="28"/>
        </w:rPr>
        <w:t xml:space="preserve">would </w:t>
      </w:r>
      <w:r w:rsidRPr="006C516E">
        <w:rPr>
          <w:rFonts w:ascii="Arial" w:hAnsi="Arial" w:cs="Arial"/>
          <w:szCs w:val="28"/>
        </w:rPr>
        <w:t>better identify the needs of individuals in residential aged care and better allocate resources to meet their needs.</w:t>
      </w:r>
    </w:p>
    <w:p w14:paraId="1C3CC7AE" w14:textId="77777777" w:rsidR="00C75B7C" w:rsidRPr="006C516E" w:rsidRDefault="00C75B7C" w:rsidP="00390986">
      <w:pPr>
        <w:rPr>
          <w:rFonts w:ascii="Arial" w:hAnsi="Arial" w:cs="Arial"/>
          <w:szCs w:val="28"/>
        </w:rPr>
      </w:pPr>
    </w:p>
    <w:p w14:paraId="372BFB78" w14:textId="56E3487E" w:rsidR="00390986" w:rsidRPr="006C516E" w:rsidRDefault="00390986" w:rsidP="00EF1D1E">
      <w:pPr>
        <w:spacing w:after="1680"/>
        <w:rPr>
          <w:rFonts w:ascii="Arial" w:hAnsi="Arial" w:cs="Arial"/>
          <w:szCs w:val="28"/>
        </w:rPr>
      </w:pPr>
      <w:r w:rsidRPr="006C516E">
        <w:rPr>
          <w:rFonts w:ascii="Arial" w:hAnsi="Arial" w:cs="Arial"/>
          <w:szCs w:val="28"/>
        </w:rPr>
        <w:t xml:space="preserve">Earlier this month I announced funding of $4.6 million for a trial of the </w:t>
      </w:r>
      <w:r w:rsidR="00145937">
        <w:rPr>
          <w:rFonts w:ascii="Arial" w:hAnsi="Arial" w:cs="Arial"/>
          <w:szCs w:val="28"/>
        </w:rPr>
        <w:t>new assessment tool developed as part of this study</w:t>
      </w:r>
      <w:r w:rsidRPr="006C516E">
        <w:rPr>
          <w:rFonts w:ascii="Arial" w:hAnsi="Arial" w:cs="Arial"/>
          <w:szCs w:val="28"/>
        </w:rPr>
        <w:t>.</w:t>
      </w:r>
      <w:r w:rsidR="00145937">
        <w:rPr>
          <w:rFonts w:ascii="Arial" w:hAnsi="Arial" w:cs="Arial"/>
          <w:szCs w:val="28"/>
        </w:rPr>
        <w:t xml:space="preserve"> </w:t>
      </w:r>
      <w:r w:rsidRPr="006C516E">
        <w:rPr>
          <w:rFonts w:ascii="Arial" w:hAnsi="Arial" w:cs="Arial"/>
          <w:szCs w:val="28"/>
        </w:rPr>
        <w:t>I have been personally committed to the development of the RUCS and I am delighted to be able to present the findings of the University of Wollongong to the sector.</w:t>
      </w:r>
    </w:p>
    <w:p w14:paraId="54580B9B" w14:textId="77777777" w:rsidR="006C516E" w:rsidRPr="006C516E" w:rsidRDefault="006C516E" w:rsidP="006C516E">
      <w:pPr>
        <w:rPr>
          <w:rFonts w:ascii="Arial" w:hAnsi="Arial" w:cs="Arial"/>
        </w:rPr>
      </w:pPr>
      <w:r w:rsidRPr="006C516E">
        <w:rPr>
          <w:rFonts w:ascii="Arial" w:hAnsi="Arial" w:cs="Arial"/>
        </w:rPr>
        <w:t>The Hon KEN WYATT AM, MP</w:t>
      </w:r>
    </w:p>
    <w:p w14:paraId="50C213F9" w14:textId="77777777" w:rsidR="006C516E" w:rsidRPr="006C516E" w:rsidRDefault="006C516E" w:rsidP="006C516E">
      <w:pPr>
        <w:rPr>
          <w:rFonts w:ascii="Arial" w:hAnsi="Arial" w:cs="Arial"/>
        </w:rPr>
      </w:pPr>
      <w:r w:rsidRPr="006C516E">
        <w:rPr>
          <w:rFonts w:ascii="Arial" w:hAnsi="Arial" w:cs="Arial"/>
        </w:rPr>
        <w:t>Minister for Senior Australians and Aged Care</w:t>
      </w:r>
    </w:p>
    <w:p w14:paraId="4085090E" w14:textId="77777777" w:rsidR="006C516E" w:rsidRPr="006C516E" w:rsidRDefault="006C516E" w:rsidP="006C516E">
      <w:pPr>
        <w:rPr>
          <w:rFonts w:ascii="Arial" w:hAnsi="Arial" w:cs="Arial"/>
        </w:rPr>
      </w:pPr>
      <w:r w:rsidRPr="006C516E">
        <w:rPr>
          <w:rFonts w:ascii="Arial" w:hAnsi="Arial" w:cs="Arial"/>
        </w:rPr>
        <w:t>Minister for Indigenous Health</w:t>
      </w:r>
    </w:p>
    <w:p w14:paraId="0B352AE9" w14:textId="73124936" w:rsidR="006C516E" w:rsidRDefault="006C516E" w:rsidP="003A3029">
      <w:pPr>
        <w:rPr>
          <w:rFonts w:ascii="Arial" w:hAnsi="Arial" w:cs="Arial"/>
        </w:rPr>
      </w:pPr>
    </w:p>
    <w:p w14:paraId="1F8F8BD0" w14:textId="0C86D6ED" w:rsidR="009D043E" w:rsidRPr="006C516E" w:rsidRDefault="009D043E" w:rsidP="003A3029">
      <w:pPr>
        <w:rPr>
          <w:rFonts w:ascii="Arial" w:hAnsi="Arial" w:cs="Arial"/>
        </w:rPr>
      </w:pPr>
      <w:r>
        <w:rPr>
          <w:rFonts w:ascii="Arial" w:hAnsi="Arial" w:cs="Arial"/>
        </w:rPr>
        <w:t>14 March 2019</w:t>
      </w:r>
    </w:p>
    <w:p w14:paraId="7436B12F" w14:textId="77777777" w:rsidR="0036128F" w:rsidRPr="006C516E" w:rsidRDefault="0036128F" w:rsidP="003A3029">
      <w:pPr>
        <w:rPr>
          <w:rFonts w:ascii="Arial" w:hAnsi="Arial" w:cs="Arial"/>
          <w:b/>
          <w:bCs/>
          <w:kern w:val="28"/>
          <w:sz w:val="28"/>
          <w:szCs w:val="32"/>
        </w:rPr>
      </w:pPr>
      <w:r w:rsidRPr="006C516E">
        <w:rPr>
          <w:rFonts w:ascii="Arial" w:hAnsi="Arial" w:cs="Arial"/>
        </w:rPr>
        <w:br w:type="page"/>
      </w:r>
    </w:p>
    <w:p w14:paraId="713852A7" w14:textId="77777777" w:rsidR="00CA4FF1" w:rsidRPr="006C516E" w:rsidRDefault="00944B06" w:rsidP="003A3029">
      <w:pPr>
        <w:pStyle w:val="Heading1"/>
        <w:spacing w:after="120"/>
      </w:pPr>
      <w:bookmarkStart w:id="4" w:name="_Toc3383710"/>
      <w:r w:rsidRPr="006C516E">
        <w:lastRenderedPageBreak/>
        <w:t xml:space="preserve">Section 1 – </w:t>
      </w:r>
      <w:r w:rsidR="00E60C2F" w:rsidRPr="006C516E">
        <w:t>Purpose</w:t>
      </w:r>
      <w:r w:rsidRPr="006C516E">
        <w:t xml:space="preserve"> </w:t>
      </w:r>
      <w:r w:rsidR="00E60C2F" w:rsidRPr="006C516E">
        <w:t>of this paper</w:t>
      </w:r>
      <w:bookmarkEnd w:id="4"/>
    </w:p>
    <w:p w14:paraId="18C7D72B" w14:textId="15D6469C" w:rsidR="007232BE" w:rsidRPr="006C516E" w:rsidRDefault="00CE444D" w:rsidP="003A3029">
      <w:pPr>
        <w:rPr>
          <w:rFonts w:ascii="Arial" w:hAnsi="Arial" w:cs="Arial"/>
        </w:rPr>
      </w:pPr>
      <w:r w:rsidRPr="006C516E">
        <w:rPr>
          <w:rFonts w:ascii="Arial" w:hAnsi="Arial" w:cs="Arial"/>
        </w:rPr>
        <w:t xml:space="preserve">This consultation paper has been developed to seek feedback and views from the residential aged care sector and broader community on the new residential aged care funding model and system that has been </w:t>
      </w:r>
      <w:r w:rsidR="002D4E5D" w:rsidRPr="006C516E">
        <w:rPr>
          <w:rFonts w:ascii="Arial" w:hAnsi="Arial" w:cs="Arial"/>
        </w:rPr>
        <w:t xml:space="preserve">developed </w:t>
      </w:r>
      <w:r w:rsidRPr="006C516E">
        <w:rPr>
          <w:rFonts w:ascii="Arial" w:hAnsi="Arial" w:cs="Arial"/>
        </w:rPr>
        <w:t xml:space="preserve">by the </w:t>
      </w:r>
      <w:r w:rsidR="00D156DB" w:rsidRPr="006C516E">
        <w:rPr>
          <w:rFonts w:ascii="Arial" w:hAnsi="Arial" w:cs="Arial"/>
        </w:rPr>
        <w:t xml:space="preserve">Australian Health Services Research Institute (AHSRI) at the </w:t>
      </w:r>
      <w:r w:rsidRPr="006C516E">
        <w:rPr>
          <w:rFonts w:ascii="Arial" w:hAnsi="Arial" w:cs="Arial"/>
        </w:rPr>
        <w:t>University of Wollongong</w:t>
      </w:r>
      <w:r w:rsidR="007232BE" w:rsidRPr="006C516E">
        <w:rPr>
          <w:rFonts w:ascii="Arial" w:hAnsi="Arial" w:cs="Arial"/>
        </w:rPr>
        <w:t>.</w:t>
      </w:r>
    </w:p>
    <w:p w14:paraId="459641E5" w14:textId="77777777" w:rsidR="00BC2BD5" w:rsidRPr="006C516E" w:rsidRDefault="00BC2BD5" w:rsidP="003A3029">
      <w:pPr>
        <w:rPr>
          <w:rFonts w:ascii="Arial" w:hAnsi="Arial" w:cs="Arial"/>
        </w:rPr>
      </w:pPr>
    </w:p>
    <w:p w14:paraId="306ACDA7" w14:textId="77777777" w:rsidR="00CE444D" w:rsidRPr="006C516E" w:rsidRDefault="00BC2BD5" w:rsidP="003A3029">
      <w:pPr>
        <w:rPr>
          <w:rFonts w:ascii="Arial" w:hAnsi="Arial" w:cs="Arial"/>
        </w:rPr>
      </w:pPr>
      <w:r w:rsidRPr="006C516E">
        <w:rPr>
          <w:rFonts w:ascii="Arial" w:hAnsi="Arial" w:cs="Arial"/>
        </w:rPr>
        <w:t>AHSRI</w:t>
      </w:r>
      <w:r w:rsidR="007232BE" w:rsidRPr="006C516E">
        <w:rPr>
          <w:rFonts w:ascii="Arial" w:hAnsi="Arial" w:cs="Arial"/>
        </w:rPr>
        <w:t xml:space="preserve"> has recommended a new model and funding system, referred to as the Australian National – Aged Care Classification (AN</w:t>
      </w:r>
      <w:r w:rsidR="007809CE" w:rsidRPr="006C516E">
        <w:rPr>
          <w:rFonts w:ascii="Arial" w:hAnsi="Arial" w:cs="Arial"/>
        </w:rPr>
        <w:t>-</w:t>
      </w:r>
      <w:r w:rsidR="007232BE" w:rsidRPr="006C516E">
        <w:rPr>
          <w:rFonts w:ascii="Arial" w:hAnsi="Arial" w:cs="Arial"/>
        </w:rPr>
        <w:t xml:space="preserve">ACC).  This follows from completion of its analysis of relative cost drivers in the sector and development of a new tool for assessing resident funding needs as part of its Resource Utilisation and </w:t>
      </w:r>
      <w:r w:rsidR="002B5080" w:rsidRPr="006C516E">
        <w:rPr>
          <w:rFonts w:ascii="Arial" w:hAnsi="Arial" w:cs="Arial"/>
        </w:rPr>
        <w:t>Classification</w:t>
      </w:r>
      <w:r w:rsidRPr="006C516E">
        <w:rPr>
          <w:rFonts w:ascii="Arial" w:hAnsi="Arial" w:cs="Arial"/>
        </w:rPr>
        <w:t xml:space="preserve"> Study (RUCS) which AHSRI</w:t>
      </w:r>
      <w:r w:rsidR="007232BE" w:rsidRPr="006C516E">
        <w:rPr>
          <w:rFonts w:ascii="Arial" w:hAnsi="Arial" w:cs="Arial"/>
        </w:rPr>
        <w:t xml:space="preserve"> undertook </w:t>
      </w:r>
      <w:r w:rsidR="000919C3" w:rsidRPr="006C516E">
        <w:rPr>
          <w:rFonts w:ascii="Arial" w:hAnsi="Arial" w:cs="Arial"/>
        </w:rPr>
        <w:t xml:space="preserve">throughout the course of </w:t>
      </w:r>
      <w:r w:rsidR="007232BE" w:rsidRPr="006C516E">
        <w:rPr>
          <w:rFonts w:ascii="Arial" w:hAnsi="Arial" w:cs="Arial"/>
        </w:rPr>
        <w:t>2018</w:t>
      </w:r>
      <w:r w:rsidR="00CE444D" w:rsidRPr="006C516E">
        <w:rPr>
          <w:rFonts w:ascii="Arial" w:hAnsi="Arial" w:cs="Arial"/>
        </w:rPr>
        <w:t xml:space="preserve">. </w:t>
      </w:r>
    </w:p>
    <w:p w14:paraId="0C6042E2" w14:textId="77777777" w:rsidR="00CE444D" w:rsidRPr="006C516E" w:rsidRDefault="00CE444D" w:rsidP="003A3029">
      <w:pPr>
        <w:rPr>
          <w:rFonts w:ascii="Arial" w:hAnsi="Arial" w:cs="Arial"/>
        </w:rPr>
      </w:pPr>
    </w:p>
    <w:p w14:paraId="63F288F4" w14:textId="77777777" w:rsidR="00CE444D" w:rsidRPr="006C516E" w:rsidRDefault="00CE444D" w:rsidP="003A3029">
      <w:pPr>
        <w:rPr>
          <w:rFonts w:ascii="Arial" w:hAnsi="Arial" w:cs="Arial"/>
        </w:rPr>
      </w:pPr>
      <w:r w:rsidRPr="006C516E">
        <w:rPr>
          <w:rFonts w:ascii="Arial" w:hAnsi="Arial" w:cs="Arial"/>
        </w:rPr>
        <w:t xml:space="preserve">The Department of Health (the Department) invites submissions from all interested parties on </w:t>
      </w:r>
      <w:r w:rsidR="007232BE" w:rsidRPr="006C516E">
        <w:rPr>
          <w:rFonts w:ascii="Arial" w:hAnsi="Arial" w:cs="Arial"/>
        </w:rPr>
        <w:t xml:space="preserve">the </w:t>
      </w:r>
      <w:r w:rsidR="00BC2BD5" w:rsidRPr="006C516E">
        <w:rPr>
          <w:rFonts w:ascii="Arial" w:hAnsi="Arial" w:cs="Arial"/>
        </w:rPr>
        <w:t>AHSRI’s</w:t>
      </w:r>
      <w:r w:rsidR="007232BE" w:rsidRPr="006C516E">
        <w:rPr>
          <w:rFonts w:ascii="Arial" w:hAnsi="Arial" w:cs="Arial"/>
        </w:rPr>
        <w:t xml:space="preserve"> recommended funding model and system</w:t>
      </w:r>
      <w:r w:rsidRPr="006C516E">
        <w:rPr>
          <w:rFonts w:ascii="Arial" w:hAnsi="Arial" w:cs="Arial"/>
        </w:rPr>
        <w:t>.</w:t>
      </w:r>
    </w:p>
    <w:p w14:paraId="6A7CE2F6" w14:textId="77777777" w:rsidR="00CE444D" w:rsidRPr="006C516E" w:rsidRDefault="00CE444D" w:rsidP="003A3029">
      <w:pPr>
        <w:rPr>
          <w:rFonts w:ascii="Arial" w:hAnsi="Arial" w:cs="Arial"/>
          <w:b/>
          <w:sz w:val="32"/>
        </w:rPr>
      </w:pPr>
    </w:p>
    <w:p w14:paraId="541BEDE7" w14:textId="77777777" w:rsidR="007232BE" w:rsidRPr="006C516E" w:rsidRDefault="00944B06" w:rsidP="003A3029">
      <w:pPr>
        <w:pStyle w:val="Heading1"/>
      </w:pPr>
      <w:bookmarkStart w:id="5" w:name="_Toc3383711"/>
      <w:r w:rsidRPr="006C516E">
        <w:t xml:space="preserve">Section 2 – </w:t>
      </w:r>
      <w:r w:rsidR="007232BE" w:rsidRPr="006C516E">
        <w:t>How to make a submission</w:t>
      </w:r>
      <w:bookmarkEnd w:id="5"/>
    </w:p>
    <w:p w14:paraId="4E829E65" w14:textId="77777777" w:rsidR="007232BE" w:rsidRPr="006C516E" w:rsidRDefault="007232BE" w:rsidP="003A3029">
      <w:pPr>
        <w:rPr>
          <w:rFonts w:ascii="Arial" w:hAnsi="Arial" w:cs="Arial"/>
        </w:rPr>
      </w:pPr>
    </w:p>
    <w:p w14:paraId="04035C9D" w14:textId="2EA6735D" w:rsidR="007232BE" w:rsidRPr="006C516E" w:rsidRDefault="007232BE" w:rsidP="003A3029">
      <w:pPr>
        <w:rPr>
          <w:rFonts w:ascii="Arial" w:hAnsi="Arial" w:cs="Arial"/>
        </w:rPr>
      </w:pPr>
      <w:r w:rsidRPr="006C516E">
        <w:rPr>
          <w:rFonts w:ascii="Arial" w:hAnsi="Arial" w:cs="Arial"/>
        </w:rPr>
        <w:t>Submissions are due by Friday 31 May 2019</w:t>
      </w:r>
      <w:r w:rsidR="0051215F" w:rsidRPr="006C516E">
        <w:rPr>
          <w:rFonts w:ascii="Arial" w:hAnsi="Arial" w:cs="Arial"/>
        </w:rPr>
        <w:t xml:space="preserve"> and can be provided using the Department of Health’s </w:t>
      </w:r>
      <w:hyperlink r:id="rId9" w:history="1">
        <w:r w:rsidR="0051215F" w:rsidRPr="00EF6D0A">
          <w:rPr>
            <w:rStyle w:val="Hyperlink"/>
            <w:rFonts w:ascii="Arial" w:hAnsi="Arial" w:cs="Arial"/>
          </w:rPr>
          <w:t>Consultation Hub</w:t>
        </w:r>
      </w:hyperlink>
      <w:r w:rsidR="00EF6D0A" w:rsidRPr="00EF6D0A">
        <w:rPr>
          <w:rStyle w:val="Hyperlink"/>
          <w:rFonts w:ascii="Arial" w:hAnsi="Arial" w:cs="Arial"/>
          <w:color w:val="auto"/>
          <w:u w:val="none"/>
        </w:rPr>
        <w:t xml:space="preserve"> </w:t>
      </w:r>
      <w:r w:rsidR="00EF6D0A">
        <w:rPr>
          <w:rStyle w:val="Hyperlink"/>
          <w:rFonts w:ascii="Arial" w:hAnsi="Arial" w:cs="Arial"/>
          <w:color w:val="auto"/>
          <w:u w:val="none"/>
        </w:rPr>
        <w:t>(</w:t>
      </w:r>
      <w:r w:rsidR="00EF6D0A" w:rsidRPr="00EF6D0A">
        <w:rPr>
          <w:rFonts w:ascii="Arial" w:hAnsi="Arial" w:cs="Arial"/>
        </w:rPr>
        <w:t>https://consultations.health.gov.au/</w:t>
      </w:r>
      <w:r w:rsidR="00EF6D0A">
        <w:rPr>
          <w:rFonts w:ascii="Arial" w:hAnsi="Arial" w:cs="Arial"/>
        </w:rPr>
        <w:t>).</w:t>
      </w:r>
    </w:p>
    <w:p w14:paraId="1004B74C" w14:textId="77777777" w:rsidR="007232BE" w:rsidRPr="006C516E" w:rsidRDefault="007232BE" w:rsidP="003A3029">
      <w:pPr>
        <w:rPr>
          <w:rFonts w:ascii="Arial" w:hAnsi="Arial" w:cs="Arial"/>
        </w:rPr>
      </w:pPr>
    </w:p>
    <w:p w14:paraId="1FF8A44C" w14:textId="2814E86C" w:rsidR="00694116" w:rsidRPr="006C516E" w:rsidRDefault="00694116" w:rsidP="003A3029">
      <w:pPr>
        <w:rPr>
          <w:rFonts w:ascii="Arial" w:hAnsi="Arial" w:cs="Arial"/>
        </w:rPr>
      </w:pPr>
      <w:r w:rsidRPr="006C516E">
        <w:rPr>
          <w:rFonts w:ascii="Arial" w:hAnsi="Arial" w:cs="Arial"/>
        </w:rPr>
        <w:t>I</w:t>
      </w:r>
      <w:r w:rsidR="00BC2BD5" w:rsidRPr="006C516E">
        <w:rPr>
          <w:rFonts w:ascii="Arial" w:hAnsi="Arial" w:cs="Arial"/>
        </w:rPr>
        <w:t>n addition to the summary of</w:t>
      </w:r>
      <w:r w:rsidRPr="006C516E">
        <w:rPr>
          <w:rFonts w:ascii="Arial" w:hAnsi="Arial" w:cs="Arial"/>
        </w:rPr>
        <w:t xml:space="preserve"> </w:t>
      </w:r>
      <w:r w:rsidR="00BC2BD5" w:rsidRPr="006C516E">
        <w:rPr>
          <w:rFonts w:ascii="Arial" w:hAnsi="Arial" w:cs="Arial"/>
        </w:rPr>
        <w:t>AHSRI’s</w:t>
      </w:r>
      <w:r w:rsidRPr="006C516E">
        <w:rPr>
          <w:rFonts w:ascii="Arial" w:hAnsi="Arial" w:cs="Arial"/>
        </w:rPr>
        <w:t xml:space="preserve"> proposed new model contained in this discussion paper and the particular issues identified in this paper you may also wish to consi</w:t>
      </w:r>
      <w:r w:rsidR="00BC2BD5" w:rsidRPr="006C516E">
        <w:rPr>
          <w:rFonts w:ascii="Arial" w:hAnsi="Arial" w:cs="Arial"/>
        </w:rPr>
        <w:t>der the AHSRI’</w:t>
      </w:r>
      <w:r w:rsidRPr="006C516E">
        <w:rPr>
          <w:rFonts w:ascii="Arial" w:hAnsi="Arial" w:cs="Arial"/>
        </w:rPr>
        <w:t>s seven detaile</w:t>
      </w:r>
      <w:r w:rsidR="00EF6D0A">
        <w:rPr>
          <w:rFonts w:ascii="Arial" w:hAnsi="Arial" w:cs="Arial"/>
        </w:rPr>
        <w:t xml:space="preserve">d reports from their RUCS study, </w:t>
      </w:r>
      <w:r w:rsidRPr="006C516E">
        <w:rPr>
          <w:rFonts w:ascii="Arial" w:hAnsi="Arial" w:cs="Arial"/>
        </w:rPr>
        <w:t>available at</w:t>
      </w:r>
      <w:r w:rsidR="00774BCB" w:rsidRPr="006C516E">
        <w:rPr>
          <w:rFonts w:ascii="Arial" w:hAnsi="Arial" w:cs="Arial"/>
        </w:rPr>
        <w:t xml:space="preserve"> </w:t>
      </w:r>
      <w:r w:rsidR="00FC4789">
        <w:rPr>
          <w:rFonts w:ascii="Arial" w:hAnsi="Arial" w:cs="Arial"/>
        </w:rPr>
        <w:t xml:space="preserve">the </w:t>
      </w:r>
      <w:hyperlink r:id="rId10" w:history="1">
        <w:r w:rsidR="00EF6D0A" w:rsidRPr="00596C5C">
          <w:rPr>
            <w:rStyle w:val="Hyperlink"/>
            <w:rFonts w:ascii="Arial" w:hAnsi="Arial" w:cs="Arial"/>
          </w:rPr>
          <w:t>department’s website</w:t>
        </w:r>
      </w:hyperlink>
      <w:r w:rsidR="00FC4789">
        <w:rPr>
          <w:rFonts w:ascii="Arial" w:hAnsi="Arial" w:cs="Arial"/>
        </w:rPr>
        <w:t xml:space="preserve"> (</w:t>
      </w:r>
      <w:r w:rsidR="00FC4789" w:rsidRPr="00FC4789">
        <w:rPr>
          <w:rFonts w:ascii="Arial" w:hAnsi="Arial" w:cs="Arial"/>
        </w:rPr>
        <w:t>https://agedcare.health.gov.au/reform/resource-utilisation-and-classification-study</w:t>
      </w:r>
      <w:r w:rsidR="00FC4789">
        <w:rPr>
          <w:rFonts w:ascii="Arial" w:hAnsi="Arial" w:cs="Arial"/>
        </w:rPr>
        <w:t>)</w:t>
      </w:r>
      <w:r w:rsidR="002B5080" w:rsidRPr="006C516E">
        <w:rPr>
          <w:rFonts w:ascii="Arial" w:hAnsi="Arial" w:cs="Arial"/>
        </w:rPr>
        <w:t xml:space="preserve">. </w:t>
      </w:r>
      <w:r w:rsidRPr="006C516E">
        <w:rPr>
          <w:rFonts w:ascii="Arial" w:hAnsi="Arial" w:cs="Arial"/>
        </w:rPr>
        <w:t>In particular</w:t>
      </w:r>
      <w:r w:rsidR="0036128F" w:rsidRPr="006C516E">
        <w:rPr>
          <w:rFonts w:ascii="Arial" w:hAnsi="Arial" w:cs="Arial"/>
        </w:rPr>
        <w:t>,</w:t>
      </w:r>
      <w:r w:rsidR="00BC2BD5" w:rsidRPr="006C516E">
        <w:rPr>
          <w:rFonts w:ascii="Arial" w:hAnsi="Arial" w:cs="Arial"/>
        </w:rPr>
        <w:t xml:space="preserve"> Report 6 from AHSRI </w:t>
      </w:r>
      <w:r w:rsidR="002D4E5D" w:rsidRPr="006C516E">
        <w:rPr>
          <w:rFonts w:ascii="Arial" w:hAnsi="Arial" w:cs="Arial"/>
        </w:rPr>
        <w:t>summarises the</w:t>
      </w:r>
      <w:r w:rsidRPr="006C516E">
        <w:rPr>
          <w:rFonts w:ascii="Arial" w:hAnsi="Arial" w:cs="Arial"/>
        </w:rPr>
        <w:t xml:space="preserve"> findings from the RUCS and </w:t>
      </w:r>
      <w:r w:rsidR="0036128F" w:rsidRPr="006C516E">
        <w:rPr>
          <w:rFonts w:ascii="Arial" w:hAnsi="Arial" w:cs="Arial"/>
        </w:rPr>
        <w:t xml:space="preserve">the </w:t>
      </w:r>
      <w:r w:rsidR="002D4E5D" w:rsidRPr="006C516E">
        <w:rPr>
          <w:rFonts w:ascii="Arial" w:hAnsi="Arial" w:cs="Arial"/>
        </w:rPr>
        <w:t>detail of the</w:t>
      </w:r>
      <w:r w:rsidRPr="006C516E">
        <w:rPr>
          <w:rFonts w:ascii="Arial" w:hAnsi="Arial" w:cs="Arial"/>
        </w:rPr>
        <w:t xml:space="preserve"> recommendations.</w:t>
      </w:r>
    </w:p>
    <w:p w14:paraId="20C3A83D" w14:textId="77777777" w:rsidR="007232BE" w:rsidRPr="006C516E" w:rsidRDefault="007232BE" w:rsidP="003A3029">
      <w:pPr>
        <w:rPr>
          <w:rFonts w:ascii="Arial" w:hAnsi="Arial" w:cs="Arial"/>
        </w:rPr>
      </w:pPr>
    </w:p>
    <w:p w14:paraId="0D1A0195" w14:textId="7B1DC464" w:rsidR="0036128F" w:rsidRPr="006C516E" w:rsidRDefault="0036128F" w:rsidP="003A3029">
      <w:pPr>
        <w:rPr>
          <w:rFonts w:ascii="Arial" w:hAnsi="Arial" w:cs="Arial"/>
        </w:rPr>
      </w:pPr>
      <w:r w:rsidRPr="006C516E">
        <w:rPr>
          <w:rFonts w:ascii="Arial" w:hAnsi="Arial" w:cs="Arial"/>
        </w:rPr>
        <w:t>Your feedback will help inform Government</w:t>
      </w:r>
      <w:r w:rsidR="002D4E5D" w:rsidRPr="006C516E">
        <w:rPr>
          <w:rFonts w:ascii="Arial" w:hAnsi="Arial" w:cs="Arial"/>
        </w:rPr>
        <w:t xml:space="preserve"> consideration around residential care funding reform and </w:t>
      </w:r>
      <w:r w:rsidRPr="006C516E">
        <w:rPr>
          <w:rFonts w:ascii="Arial" w:hAnsi="Arial" w:cs="Arial"/>
        </w:rPr>
        <w:t xml:space="preserve">the design elements of </w:t>
      </w:r>
      <w:r w:rsidR="002D4E5D" w:rsidRPr="006C516E">
        <w:rPr>
          <w:rFonts w:ascii="Arial" w:hAnsi="Arial" w:cs="Arial"/>
        </w:rPr>
        <w:t>a possible</w:t>
      </w:r>
      <w:r w:rsidRPr="006C516E">
        <w:rPr>
          <w:rFonts w:ascii="Arial" w:hAnsi="Arial" w:cs="Arial"/>
        </w:rPr>
        <w:t xml:space="preserve"> new funding model and system.</w:t>
      </w:r>
    </w:p>
    <w:p w14:paraId="39BB674E" w14:textId="2CE99533" w:rsidR="0036128F" w:rsidRPr="006C516E" w:rsidRDefault="00DC1CD0" w:rsidP="003A3029">
      <w:pPr>
        <w:pStyle w:val="Normal-nospacing"/>
        <w:rPr>
          <w:rFonts w:ascii="Arial" w:hAnsi="Arial" w:cs="Arial"/>
        </w:rPr>
      </w:pPr>
      <w:r w:rsidRPr="006C516E">
        <w:rPr>
          <w:rFonts w:ascii="Arial" w:hAnsi="Arial" w:cs="Arial"/>
        </w:rPr>
        <w:t xml:space="preserve">You are invited to provide feedback on any aspect of the proposed model and recommendations. </w:t>
      </w:r>
      <w:r w:rsidR="0036128F" w:rsidRPr="006C516E">
        <w:rPr>
          <w:rFonts w:ascii="Arial" w:hAnsi="Arial" w:cs="Arial"/>
        </w:rPr>
        <w:t>In particular</w:t>
      </w:r>
      <w:r w:rsidR="0051215F" w:rsidRPr="006C516E">
        <w:rPr>
          <w:rFonts w:ascii="Arial" w:hAnsi="Arial" w:cs="Arial"/>
        </w:rPr>
        <w:t>,</w:t>
      </w:r>
      <w:r w:rsidR="0036128F" w:rsidRPr="006C516E">
        <w:rPr>
          <w:rFonts w:ascii="Arial" w:hAnsi="Arial" w:cs="Arial"/>
        </w:rPr>
        <w:t xml:space="preserve"> this paper seeks your views and feedback on:</w:t>
      </w:r>
    </w:p>
    <w:p w14:paraId="6576DB53" w14:textId="77777777" w:rsidR="0036128F" w:rsidRPr="006C516E" w:rsidRDefault="0036128F" w:rsidP="003A3029">
      <w:pPr>
        <w:pStyle w:val="Normal-nospacing"/>
        <w:numPr>
          <w:ilvl w:val="0"/>
          <w:numId w:val="9"/>
        </w:numPr>
        <w:rPr>
          <w:rFonts w:ascii="Arial" w:hAnsi="Arial" w:cs="Arial"/>
        </w:rPr>
      </w:pPr>
      <w:r w:rsidRPr="006C516E">
        <w:rPr>
          <w:rFonts w:ascii="Arial" w:hAnsi="Arial" w:cs="Arial"/>
        </w:rPr>
        <w:t>The findings of the RUCS and the structure of the proposed AN-ACC funding model;</w:t>
      </w:r>
    </w:p>
    <w:p w14:paraId="1BC8DDA4" w14:textId="77777777" w:rsidR="0036128F" w:rsidRPr="006C516E" w:rsidRDefault="0036128F" w:rsidP="003A3029">
      <w:pPr>
        <w:pStyle w:val="Normal-nospacing"/>
        <w:numPr>
          <w:ilvl w:val="0"/>
          <w:numId w:val="9"/>
        </w:numPr>
        <w:rPr>
          <w:rFonts w:ascii="Arial" w:hAnsi="Arial" w:cs="Arial"/>
        </w:rPr>
      </w:pPr>
      <w:r w:rsidRPr="006C516E">
        <w:rPr>
          <w:rFonts w:ascii="Arial" w:hAnsi="Arial" w:cs="Arial"/>
        </w:rPr>
        <w:t>the potential impacts (benefits, costs, risks) of the adoption of the AN-ACC funding model;</w:t>
      </w:r>
    </w:p>
    <w:p w14:paraId="03EB91EE" w14:textId="77777777" w:rsidR="0036128F" w:rsidRPr="006C516E" w:rsidRDefault="0036128F" w:rsidP="003A3029">
      <w:pPr>
        <w:pStyle w:val="Normal-nospacing"/>
        <w:numPr>
          <w:ilvl w:val="0"/>
          <w:numId w:val="9"/>
        </w:numPr>
        <w:rPr>
          <w:rFonts w:ascii="Arial" w:hAnsi="Arial" w:cs="Arial"/>
        </w:rPr>
      </w:pPr>
      <w:r w:rsidRPr="006C516E">
        <w:rPr>
          <w:rFonts w:ascii="Arial" w:hAnsi="Arial" w:cs="Arial"/>
        </w:rPr>
        <w:t>potential flow on effects and linkages with other programs or reforms in aged care; and</w:t>
      </w:r>
    </w:p>
    <w:p w14:paraId="7F4A1785" w14:textId="726FC896" w:rsidR="0036128F" w:rsidRPr="006C516E" w:rsidRDefault="0036128F" w:rsidP="003A3029">
      <w:pPr>
        <w:pStyle w:val="Normal-nospacing"/>
        <w:numPr>
          <w:ilvl w:val="0"/>
          <w:numId w:val="9"/>
        </w:numPr>
        <w:rPr>
          <w:rFonts w:ascii="Arial" w:hAnsi="Arial" w:cs="Arial"/>
        </w:rPr>
      </w:pPr>
      <w:r w:rsidRPr="006C516E">
        <w:rPr>
          <w:rFonts w:ascii="Arial" w:hAnsi="Arial" w:cs="Arial"/>
        </w:rPr>
        <w:t>potential implementation and transition considerations associated with the AN-ACC model.</w:t>
      </w:r>
    </w:p>
    <w:p w14:paraId="456F2252" w14:textId="1C133387" w:rsidR="00DC1CD0" w:rsidRPr="006C516E" w:rsidRDefault="00DC1CD0" w:rsidP="0001697C">
      <w:pPr>
        <w:pStyle w:val="Normal-nospacing"/>
        <w:rPr>
          <w:rFonts w:ascii="Arial" w:hAnsi="Arial" w:cs="Arial"/>
        </w:rPr>
      </w:pPr>
      <w:r w:rsidRPr="006C516E">
        <w:rPr>
          <w:rFonts w:ascii="Arial" w:hAnsi="Arial" w:cs="Arial"/>
        </w:rPr>
        <w:t xml:space="preserve">Specific questions are included throughout the discussion paper. These are intended as a guide to stimulate your thinking </w:t>
      </w:r>
      <w:r w:rsidR="00F97AAE">
        <w:rPr>
          <w:rFonts w:ascii="Arial" w:hAnsi="Arial" w:cs="Arial"/>
        </w:rPr>
        <w:t xml:space="preserve">but </w:t>
      </w:r>
      <w:r w:rsidR="0001697C" w:rsidRPr="006C516E">
        <w:rPr>
          <w:rFonts w:ascii="Arial" w:hAnsi="Arial" w:cs="Arial"/>
        </w:rPr>
        <w:t>do not limit</w:t>
      </w:r>
      <w:r w:rsidRPr="006C516E">
        <w:rPr>
          <w:rFonts w:ascii="Arial" w:hAnsi="Arial" w:cs="Arial"/>
        </w:rPr>
        <w:t xml:space="preserve"> the feedback </w:t>
      </w:r>
      <w:r w:rsidR="0001697C" w:rsidRPr="006C516E">
        <w:rPr>
          <w:rFonts w:ascii="Arial" w:hAnsi="Arial" w:cs="Arial"/>
        </w:rPr>
        <w:t>that you may provide.</w:t>
      </w:r>
    </w:p>
    <w:p w14:paraId="58755522" w14:textId="77777777" w:rsidR="0036128F" w:rsidRPr="006C516E" w:rsidRDefault="0036128F" w:rsidP="003A3029">
      <w:pPr>
        <w:rPr>
          <w:rFonts w:ascii="Arial" w:hAnsi="Arial" w:cs="Arial"/>
        </w:rPr>
      </w:pPr>
    </w:p>
    <w:p w14:paraId="284FD118" w14:textId="77777777" w:rsidR="0036128F" w:rsidRPr="006C516E" w:rsidRDefault="0036128F" w:rsidP="003A3029">
      <w:pPr>
        <w:rPr>
          <w:rFonts w:ascii="Arial" w:hAnsi="Arial" w:cs="Arial"/>
        </w:rPr>
      </w:pPr>
    </w:p>
    <w:p w14:paraId="7DC4DDE0" w14:textId="77777777" w:rsidR="00694116" w:rsidRPr="006C516E" w:rsidRDefault="00944B06" w:rsidP="003A3029">
      <w:pPr>
        <w:pStyle w:val="Heading1"/>
      </w:pPr>
      <w:bookmarkStart w:id="6" w:name="_Toc3383712"/>
      <w:r w:rsidRPr="006C516E">
        <w:t>Section 3 –</w:t>
      </w:r>
      <w:r w:rsidR="00694116" w:rsidRPr="006C516E">
        <w:t xml:space="preserve"> Structure</w:t>
      </w:r>
      <w:r w:rsidRPr="006C516E">
        <w:t xml:space="preserve"> </w:t>
      </w:r>
      <w:r w:rsidR="00694116" w:rsidRPr="006C516E">
        <w:t xml:space="preserve">of </w:t>
      </w:r>
      <w:r w:rsidRPr="006C516E">
        <w:t>this</w:t>
      </w:r>
      <w:r w:rsidR="00694116" w:rsidRPr="006C516E">
        <w:t xml:space="preserve"> paper</w:t>
      </w:r>
      <w:bookmarkEnd w:id="6"/>
    </w:p>
    <w:p w14:paraId="0480E260" w14:textId="77777777" w:rsidR="00694116" w:rsidRPr="006C516E" w:rsidRDefault="00694116" w:rsidP="003A3029">
      <w:pPr>
        <w:rPr>
          <w:rFonts w:ascii="Arial" w:hAnsi="Arial" w:cs="Arial"/>
        </w:rPr>
      </w:pPr>
    </w:p>
    <w:p w14:paraId="5F792410" w14:textId="77777777" w:rsidR="00694116" w:rsidRPr="006C516E" w:rsidRDefault="000919C3" w:rsidP="003A3029">
      <w:pPr>
        <w:rPr>
          <w:rFonts w:ascii="Arial" w:hAnsi="Arial" w:cs="Arial"/>
        </w:rPr>
      </w:pPr>
      <w:r w:rsidRPr="006C516E">
        <w:rPr>
          <w:rFonts w:ascii="Arial" w:hAnsi="Arial" w:cs="Arial"/>
        </w:rPr>
        <w:t>Th</w:t>
      </w:r>
      <w:r w:rsidR="00E657A9" w:rsidRPr="006C516E">
        <w:rPr>
          <w:rFonts w:ascii="Arial" w:hAnsi="Arial" w:cs="Arial"/>
        </w:rPr>
        <w:t>e remainder of th</w:t>
      </w:r>
      <w:r w:rsidRPr="006C516E">
        <w:rPr>
          <w:rFonts w:ascii="Arial" w:hAnsi="Arial" w:cs="Arial"/>
        </w:rPr>
        <w:t>is consultation paper is structured as follows:</w:t>
      </w:r>
    </w:p>
    <w:p w14:paraId="45695394" w14:textId="77777777" w:rsidR="000919C3" w:rsidRPr="006C516E" w:rsidRDefault="000919C3" w:rsidP="003A3029">
      <w:pPr>
        <w:rPr>
          <w:rFonts w:ascii="Arial" w:hAnsi="Arial" w:cs="Arial"/>
        </w:rPr>
      </w:pPr>
    </w:p>
    <w:p w14:paraId="636D641A" w14:textId="1921B7EB" w:rsidR="005D41AD" w:rsidRPr="006C516E" w:rsidRDefault="00830DAA" w:rsidP="003A3029">
      <w:pPr>
        <w:rPr>
          <w:rFonts w:ascii="Arial" w:hAnsi="Arial" w:cs="Arial"/>
        </w:rPr>
      </w:pPr>
      <w:r w:rsidRPr="006C516E">
        <w:rPr>
          <w:rFonts w:ascii="Arial" w:hAnsi="Arial" w:cs="Arial"/>
          <w:b/>
        </w:rPr>
        <w:t xml:space="preserve">‘Section 4 – Background’ </w:t>
      </w:r>
      <w:r w:rsidR="005D41AD" w:rsidRPr="006C516E">
        <w:rPr>
          <w:rFonts w:ascii="Arial" w:hAnsi="Arial" w:cs="Arial"/>
        </w:rPr>
        <w:t>Outlines the rationale for residential aged care funding reform, and provides a summary of the RUCS.</w:t>
      </w:r>
    </w:p>
    <w:p w14:paraId="569C1C1A" w14:textId="6604DBB4" w:rsidR="000919C3" w:rsidRPr="006C516E" w:rsidRDefault="000919C3" w:rsidP="003A3029">
      <w:pPr>
        <w:rPr>
          <w:rFonts w:ascii="Arial" w:hAnsi="Arial" w:cs="Arial"/>
        </w:rPr>
      </w:pPr>
    </w:p>
    <w:p w14:paraId="3DEF05A9" w14:textId="77777777" w:rsidR="00D67711" w:rsidRPr="006C516E" w:rsidRDefault="00830DAA" w:rsidP="003A3029">
      <w:pPr>
        <w:rPr>
          <w:rFonts w:ascii="Arial" w:hAnsi="Arial" w:cs="Arial"/>
        </w:rPr>
      </w:pPr>
      <w:r w:rsidRPr="006C516E">
        <w:rPr>
          <w:rFonts w:ascii="Arial" w:hAnsi="Arial" w:cs="Arial"/>
          <w:b/>
        </w:rPr>
        <w:t>‘</w:t>
      </w:r>
      <w:r w:rsidR="00D67711" w:rsidRPr="006C516E">
        <w:rPr>
          <w:rFonts w:ascii="Arial" w:hAnsi="Arial" w:cs="Arial"/>
          <w:b/>
        </w:rPr>
        <w:t>Section 5 – Introduction to the AN-ACC</w:t>
      </w:r>
      <w:r w:rsidRPr="006C516E">
        <w:rPr>
          <w:rFonts w:ascii="Arial" w:hAnsi="Arial" w:cs="Arial"/>
          <w:b/>
        </w:rPr>
        <w:t xml:space="preserve">’ </w:t>
      </w:r>
      <w:r w:rsidRPr="006C516E">
        <w:rPr>
          <w:rFonts w:ascii="Arial" w:hAnsi="Arial" w:cs="Arial"/>
        </w:rPr>
        <w:t>provides an overview of the key design elements of the new assessment and funding model developed as part of the RUCS, which has been termed the AN-ACC.</w:t>
      </w:r>
    </w:p>
    <w:p w14:paraId="15B8F3AC" w14:textId="77777777" w:rsidR="00944B06" w:rsidRPr="006C516E" w:rsidRDefault="00944B06" w:rsidP="003A3029">
      <w:pPr>
        <w:rPr>
          <w:rFonts w:ascii="Arial" w:hAnsi="Arial" w:cs="Arial"/>
          <w:b/>
        </w:rPr>
      </w:pPr>
    </w:p>
    <w:p w14:paraId="7368C7B3" w14:textId="77777777" w:rsidR="00830DAA" w:rsidRPr="006C516E" w:rsidRDefault="00830DAA" w:rsidP="003A3029">
      <w:pPr>
        <w:rPr>
          <w:rFonts w:ascii="Arial" w:hAnsi="Arial" w:cs="Arial"/>
        </w:rPr>
      </w:pPr>
      <w:r w:rsidRPr="006C516E">
        <w:rPr>
          <w:rFonts w:ascii="Arial" w:hAnsi="Arial" w:cs="Arial"/>
          <w:b/>
        </w:rPr>
        <w:t>‘</w:t>
      </w:r>
      <w:r w:rsidR="0051215F" w:rsidRPr="006C516E">
        <w:rPr>
          <w:rFonts w:ascii="Arial" w:hAnsi="Arial" w:cs="Arial"/>
          <w:b/>
        </w:rPr>
        <w:t xml:space="preserve">Section </w:t>
      </w:r>
      <w:r w:rsidR="00D67711" w:rsidRPr="006C516E">
        <w:rPr>
          <w:rFonts w:ascii="Arial" w:hAnsi="Arial" w:cs="Arial"/>
          <w:b/>
        </w:rPr>
        <w:t>6</w:t>
      </w:r>
      <w:r w:rsidR="0051215F" w:rsidRPr="006C516E">
        <w:rPr>
          <w:rFonts w:ascii="Arial" w:hAnsi="Arial" w:cs="Arial"/>
          <w:b/>
        </w:rPr>
        <w:t xml:space="preserve"> – </w:t>
      </w:r>
      <w:r w:rsidR="00174747" w:rsidRPr="006C516E">
        <w:rPr>
          <w:rFonts w:ascii="Arial" w:hAnsi="Arial" w:cs="Arial"/>
          <w:b/>
        </w:rPr>
        <w:t>The three components of funding under the proposed new model</w:t>
      </w:r>
      <w:r w:rsidRPr="006C516E">
        <w:rPr>
          <w:rFonts w:ascii="Arial" w:hAnsi="Arial" w:cs="Arial"/>
          <w:b/>
        </w:rPr>
        <w:t>’</w:t>
      </w:r>
      <w:r w:rsidR="00174747" w:rsidRPr="006C516E">
        <w:rPr>
          <w:rFonts w:ascii="Arial" w:hAnsi="Arial" w:cs="Arial"/>
        </w:rPr>
        <w:t xml:space="preserve"> </w:t>
      </w:r>
      <w:r w:rsidRPr="006C516E">
        <w:rPr>
          <w:rFonts w:ascii="Arial" w:hAnsi="Arial" w:cs="Arial"/>
        </w:rPr>
        <w:t>discusses the AN-ACC in more depth, including an explanation of the fixed payment for shared costs, the variable payment for individual resident costs, and the adjustment payment for entry costs.</w:t>
      </w:r>
    </w:p>
    <w:p w14:paraId="15C22367" w14:textId="77777777" w:rsidR="00830DAA" w:rsidRPr="006C516E" w:rsidRDefault="00830DAA" w:rsidP="003A3029">
      <w:pPr>
        <w:rPr>
          <w:rFonts w:ascii="Arial" w:hAnsi="Arial" w:cs="Arial"/>
        </w:rPr>
      </w:pPr>
    </w:p>
    <w:p w14:paraId="53D4E62E" w14:textId="77777777" w:rsidR="0051215F" w:rsidRPr="006C516E" w:rsidRDefault="00830DAA" w:rsidP="003A3029">
      <w:pPr>
        <w:rPr>
          <w:rFonts w:ascii="Arial" w:hAnsi="Arial" w:cs="Arial"/>
        </w:rPr>
      </w:pPr>
      <w:r w:rsidRPr="006C516E">
        <w:rPr>
          <w:rFonts w:ascii="Arial" w:hAnsi="Arial" w:cs="Arial"/>
          <w:b/>
        </w:rPr>
        <w:t>‘</w:t>
      </w:r>
      <w:r w:rsidR="00174747" w:rsidRPr="006C516E">
        <w:rPr>
          <w:rFonts w:ascii="Arial" w:hAnsi="Arial" w:cs="Arial"/>
          <w:b/>
        </w:rPr>
        <w:t xml:space="preserve">Section </w:t>
      </w:r>
      <w:r w:rsidR="00D67711" w:rsidRPr="006C516E">
        <w:rPr>
          <w:rFonts w:ascii="Arial" w:hAnsi="Arial" w:cs="Arial"/>
          <w:b/>
        </w:rPr>
        <w:t>7</w:t>
      </w:r>
      <w:r w:rsidR="00174747" w:rsidRPr="006C516E">
        <w:rPr>
          <w:rFonts w:ascii="Arial" w:hAnsi="Arial" w:cs="Arial"/>
          <w:b/>
        </w:rPr>
        <w:t xml:space="preserve"> </w:t>
      </w:r>
      <w:r w:rsidRPr="006C516E">
        <w:rPr>
          <w:rFonts w:ascii="Arial" w:hAnsi="Arial" w:cs="Arial"/>
          <w:b/>
        </w:rPr>
        <w:t>–</w:t>
      </w:r>
      <w:r w:rsidR="00174747" w:rsidRPr="006C516E">
        <w:rPr>
          <w:rFonts w:ascii="Arial" w:hAnsi="Arial" w:cs="Arial"/>
          <w:b/>
        </w:rPr>
        <w:t xml:space="preserve"> </w:t>
      </w:r>
      <w:r w:rsidR="0051215F" w:rsidRPr="006C516E">
        <w:rPr>
          <w:rFonts w:ascii="Arial" w:hAnsi="Arial" w:cs="Arial"/>
          <w:b/>
        </w:rPr>
        <w:t>How</w:t>
      </w:r>
      <w:r w:rsidRPr="006C516E">
        <w:rPr>
          <w:rFonts w:ascii="Arial" w:hAnsi="Arial" w:cs="Arial"/>
          <w:b/>
        </w:rPr>
        <w:t xml:space="preserve"> </w:t>
      </w:r>
      <w:r w:rsidR="0051215F" w:rsidRPr="006C516E">
        <w:rPr>
          <w:rFonts w:ascii="Arial" w:hAnsi="Arial" w:cs="Arial"/>
          <w:b/>
        </w:rPr>
        <w:t xml:space="preserve">residents would be assessed and classified into classes for </w:t>
      </w:r>
      <w:r w:rsidR="00944B06" w:rsidRPr="006C516E">
        <w:rPr>
          <w:rFonts w:ascii="Arial" w:hAnsi="Arial" w:cs="Arial"/>
          <w:b/>
        </w:rPr>
        <w:t xml:space="preserve">the variable </w:t>
      </w:r>
      <w:r w:rsidR="00174747" w:rsidRPr="006C516E">
        <w:rPr>
          <w:rFonts w:ascii="Arial" w:hAnsi="Arial" w:cs="Arial"/>
          <w:b/>
        </w:rPr>
        <w:t>payment</w:t>
      </w:r>
      <w:r w:rsidRPr="006C516E">
        <w:rPr>
          <w:rFonts w:ascii="Arial" w:hAnsi="Arial" w:cs="Arial"/>
          <w:b/>
        </w:rPr>
        <w:t>’</w:t>
      </w:r>
      <w:r w:rsidR="00EA46AA" w:rsidRPr="006C516E">
        <w:rPr>
          <w:rFonts w:ascii="Arial" w:hAnsi="Arial" w:cs="Arial"/>
          <w:b/>
        </w:rPr>
        <w:t xml:space="preserve"> </w:t>
      </w:r>
      <w:r w:rsidR="00EA46AA" w:rsidRPr="006C516E">
        <w:rPr>
          <w:rFonts w:ascii="Arial" w:hAnsi="Arial" w:cs="Arial"/>
        </w:rPr>
        <w:t>introduces the casemix classification system developed as a part of the RUCS.</w:t>
      </w:r>
    </w:p>
    <w:p w14:paraId="298F62A8" w14:textId="77777777" w:rsidR="00174747" w:rsidRPr="006C516E" w:rsidRDefault="00174747" w:rsidP="003A3029">
      <w:pPr>
        <w:rPr>
          <w:rFonts w:ascii="Arial" w:hAnsi="Arial" w:cs="Arial"/>
        </w:rPr>
      </w:pPr>
    </w:p>
    <w:p w14:paraId="7CC888BD" w14:textId="61F09084" w:rsidR="00174747" w:rsidRPr="006C516E" w:rsidRDefault="00830DAA" w:rsidP="003A3029">
      <w:pPr>
        <w:rPr>
          <w:rFonts w:ascii="Arial" w:hAnsi="Arial" w:cs="Arial"/>
        </w:rPr>
      </w:pPr>
      <w:r w:rsidRPr="006C516E">
        <w:rPr>
          <w:rFonts w:ascii="Arial" w:hAnsi="Arial" w:cs="Arial"/>
          <w:b/>
        </w:rPr>
        <w:t>‘</w:t>
      </w:r>
      <w:r w:rsidR="00174747" w:rsidRPr="006C516E">
        <w:rPr>
          <w:rFonts w:ascii="Arial" w:hAnsi="Arial" w:cs="Arial"/>
          <w:b/>
        </w:rPr>
        <w:t xml:space="preserve">Section </w:t>
      </w:r>
      <w:r w:rsidR="00D67711" w:rsidRPr="006C516E">
        <w:rPr>
          <w:rFonts w:ascii="Arial" w:hAnsi="Arial" w:cs="Arial"/>
          <w:b/>
        </w:rPr>
        <w:t>8</w:t>
      </w:r>
      <w:r w:rsidR="00174747" w:rsidRPr="006C516E">
        <w:rPr>
          <w:rFonts w:ascii="Arial" w:hAnsi="Arial" w:cs="Arial"/>
          <w:b/>
        </w:rPr>
        <w:t xml:space="preserve"> – Relative </w:t>
      </w:r>
      <w:r w:rsidR="00D156DB" w:rsidRPr="006C516E">
        <w:rPr>
          <w:rFonts w:ascii="Arial" w:hAnsi="Arial" w:cs="Arial"/>
          <w:b/>
        </w:rPr>
        <w:t xml:space="preserve">weightings </w:t>
      </w:r>
      <w:r w:rsidR="00174747" w:rsidRPr="006C516E">
        <w:rPr>
          <w:rFonts w:ascii="Arial" w:hAnsi="Arial" w:cs="Arial"/>
          <w:b/>
        </w:rPr>
        <w:t xml:space="preserve">given to different facilities </w:t>
      </w:r>
      <w:r w:rsidR="00A14CF8" w:rsidRPr="006C516E">
        <w:rPr>
          <w:rFonts w:ascii="Arial" w:hAnsi="Arial" w:cs="Arial"/>
          <w:b/>
        </w:rPr>
        <w:t xml:space="preserve">for the fixed payment </w:t>
      </w:r>
      <w:r w:rsidR="00174747" w:rsidRPr="006C516E">
        <w:rPr>
          <w:rFonts w:ascii="Arial" w:hAnsi="Arial" w:cs="Arial"/>
          <w:b/>
        </w:rPr>
        <w:t xml:space="preserve">and different resident classes for </w:t>
      </w:r>
      <w:r w:rsidR="00A14CF8" w:rsidRPr="006C516E">
        <w:rPr>
          <w:rFonts w:ascii="Arial" w:hAnsi="Arial" w:cs="Arial"/>
          <w:b/>
        </w:rPr>
        <w:t>the variable payment</w:t>
      </w:r>
      <w:r w:rsidR="00944B06" w:rsidRPr="006C516E">
        <w:rPr>
          <w:rFonts w:ascii="Arial" w:hAnsi="Arial" w:cs="Arial"/>
          <w:b/>
        </w:rPr>
        <w:t xml:space="preserve"> </w:t>
      </w:r>
      <w:r w:rsidR="00174747" w:rsidRPr="006C516E">
        <w:rPr>
          <w:rFonts w:ascii="Arial" w:hAnsi="Arial" w:cs="Arial"/>
          <w:b/>
        </w:rPr>
        <w:t>– Nationa</w:t>
      </w:r>
      <w:r w:rsidR="00EA46AA" w:rsidRPr="006C516E">
        <w:rPr>
          <w:rFonts w:ascii="Arial" w:hAnsi="Arial" w:cs="Arial"/>
          <w:b/>
        </w:rPr>
        <w:t>l Weighted Activity Units (NWAUs</w:t>
      </w:r>
      <w:r w:rsidR="00174747" w:rsidRPr="006C516E">
        <w:rPr>
          <w:rFonts w:ascii="Arial" w:hAnsi="Arial" w:cs="Arial"/>
          <w:b/>
        </w:rPr>
        <w:t>)</w:t>
      </w:r>
      <w:r w:rsidR="00EA46AA" w:rsidRPr="006C516E">
        <w:rPr>
          <w:rFonts w:ascii="Arial" w:hAnsi="Arial" w:cs="Arial"/>
          <w:b/>
        </w:rPr>
        <w:t xml:space="preserve">’ </w:t>
      </w:r>
      <w:r w:rsidR="00EA46AA" w:rsidRPr="006C516E">
        <w:rPr>
          <w:rFonts w:ascii="Arial" w:hAnsi="Arial" w:cs="Arial"/>
        </w:rPr>
        <w:t>introduces the concept of an NWAU and describes the NWAUs recommended by AHSRI, with an example.</w:t>
      </w:r>
    </w:p>
    <w:p w14:paraId="3432C654" w14:textId="77777777" w:rsidR="00174747" w:rsidRPr="006C516E" w:rsidRDefault="00174747" w:rsidP="003A3029">
      <w:pPr>
        <w:rPr>
          <w:rFonts w:ascii="Arial" w:hAnsi="Arial" w:cs="Arial"/>
        </w:rPr>
      </w:pPr>
    </w:p>
    <w:p w14:paraId="55EA78F0" w14:textId="055DCC2F" w:rsidR="00A14CF8" w:rsidRPr="006C516E" w:rsidRDefault="00830DAA" w:rsidP="003A3029">
      <w:pPr>
        <w:rPr>
          <w:rFonts w:ascii="Arial" w:hAnsi="Arial" w:cs="Arial"/>
        </w:rPr>
      </w:pPr>
      <w:r w:rsidRPr="006C516E">
        <w:rPr>
          <w:rFonts w:ascii="Arial" w:hAnsi="Arial" w:cs="Arial"/>
          <w:b/>
        </w:rPr>
        <w:t>‘</w:t>
      </w:r>
      <w:r w:rsidR="00F97AAE">
        <w:rPr>
          <w:rFonts w:ascii="Arial" w:hAnsi="Arial" w:cs="Arial"/>
          <w:b/>
        </w:rPr>
        <w:t>Section 9</w:t>
      </w:r>
      <w:r w:rsidR="00A14CF8" w:rsidRPr="006C516E">
        <w:rPr>
          <w:rFonts w:ascii="Arial" w:hAnsi="Arial" w:cs="Arial"/>
          <w:b/>
        </w:rPr>
        <w:t xml:space="preserve"> – Other Supplements and Subsidies</w:t>
      </w:r>
      <w:r w:rsidRPr="006C516E">
        <w:rPr>
          <w:rFonts w:ascii="Arial" w:hAnsi="Arial" w:cs="Arial"/>
          <w:b/>
        </w:rPr>
        <w:t>’</w:t>
      </w:r>
      <w:r w:rsidR="00EA46AA" w:rsidRPr="006C516E">
        <w:rPr>
          <w:rFonts w:ascii="Arial" w:hAnsi="Arial" w:cs="Arial"/>
          <w:b/>
        </w:rPr>
        <w:t xml:space="preserve"> </w:t>
      </w:r>
      <w:r w:rsidR="00EA46AA" w:rsidRPr="006C516E">
        <w:rPr>
          <w:rFonts w:ascii="Arial" w:hAnsi="Arial" w:cs="Arial"/>
        </w:rPr>
        <w:t>addresses several key care supplements and considerations in relation to the proposed new funding model.</w:t>
      </w:r>
    </w:p>
    <w:p w14:paraId="1F2E7F95" w14:textId="77777777" w:rsidR="00A14CF8" w:rsidRPr="006C516E" w:rsidRDefault="00A14CF8" w:rsidP="003A3029">
      <w:pPr>
        <w:rPr>
          <w:rFonts w:ascii="Arial" w:hAnsi="Arial" w:cs="Arial"/>
          <w:b/>
        </w:rPr>
      </w:pPr>
    </w:p>
    <w:p w14:paraId="55E13C49" w14:textId="03F57459" w:rsidR="00A14CF8" w:rsidRPr="006C516E" w:rsidRDefault="00830DAA" w:rsidP="003A3029">
      <w:pPr>
        <w:rPr>
          <w:rFonts w:ascii="Arial" w:hAnsi="Arial" w:cs="Arial"/>
        </w:rPr>
      </w:pPr>
      <w:r w:rsidRPr="006C516E">
        <w:rPr>
          <w:rFonts w:ascii="Arial" w:hAnsi="Arial" w:cs="Arial"/>
          <w:b/>
        </w:rPr>
        <w:t>‘</w:t>
      </w:r>
      <w:r w:rsidR="00526663" w:rsidRPr="006C516E">
        <w:rPr>
          <w:rFonts w:ascii="Arial" w:hAnsi="Arial" w:cs="Arial"/>
          <w:b/>
        </w:rPr>
        <w:t>Section 1</w:t>
      </w:r>
      <w:r w:rsidR="00F97AAE">
        <w:rPr>
          <w:rFonts w:ascii="Arial" w:hAnsi="Arial" w:cs="Arial"/>
          <w:b/>
        </w:rPr>
        <w:t>0</w:t>
      </w:r>
      <w:r w:rsidR="00A14CF8" w:rsidRPr="006C516E">
        <w:rPr>
          <w:rFonts w:ascii="Arial" w:hAnsi="Arial" w:cs="Arial"/>
          <w:b/>
        </w:rPr>
        <w:t xml:space="preserve"> – Implementation and Transition Issues</w:t>
      </w:r>
      <w:r w:rsidRPr="006C516E">
        <w:rPr>
          <w:rFonts w:ascii="Arial" w:hAnsi="Arial" w:cs="Arial"/>
          <w:b/>
        </w:rPr>
        <w:t>’</w:t>
      </w:r>
      <w:r w:rsidR="00EA46AA" w:rsidRPr="006C516E">
        <w:rPr>
          <w:rFonts w:ascii="Arial" w:hAnsi="Arial" w:cs="Arial"/>
          <w:b/>
        </w:rPr>
        <w:t xml:space="preserve"> </w:t>
      </w:r>
      <w:r w:rsidR="00EA46AA" w:rsidRPr="006C516E">
        <w:rPr>
          <w:rFonts w:ascii="Arial" w:hAnsi="Arial" w:cs="Arial"/>
        </w:rPr>
        <w:t xml:space="preserve">discusses options and implications for transition if the new funding model is to be adopted. </w:t>
      </w:r>
    </w:p>
    <w:p w14:paraId="3CD2AF76" w14:textId="77777777" w:rsidR="00A14CF8" w:rsidRPr="006C516E" w:rsidRDefault="00A14CF8" w:rsidP="003A3029">
      <w:pPr>
        <w:rPr>
          <w:rFonts w:ascii="Arial" w:hAnsi="Arial" w:cs="Arial"/>
          <w:b/>
        </w:rPr>
      </w:pPr>
    </w:p>
    <w:p w14:paraId="79A20DC4" w14:textId="2A7F7A71" w:rsidR="00A14CF8" w:rsidRPr="006C516E" w:rsidRDefault="00830DAA" w:rsidP="003A3029">
      <w:pPr>
        <w:rPr>
          <w:rFonts w:ascii="Arial" w:hAnsi="Arial" w:cs="Arial"/>
        </w:rPr>
      </w:pPr>
      <w:r w:rsidRPr="006C516E">
        <w:rPr>
          <w:rFonts w:ascii="Arial" w:hAnsi="Arial" w:cs="Arial"/>
          <w:b/>
        </w:rPr>
        <w:t>‘</w:t>
      </w:r>
      <w:r w:rsidR="00526663" w:rsidRPr="006C516E">
        <w:rPr>
          <w:rFonts w:ascii="Arial" w:hAnsi="Arial" w:cs="Arial"/>
          <w:b/>
        </w:rPr>
        <w:t>Section 1</w:t>
      </w:r>
      <w:r w:rsidR="00F97AAE">
        <w:rPr>
          <w:rFonts w:ascii="Arial" w:hAnsi="Arial" w:cs="Arial"/>
          <w:b/>
        </w:rPr>
        <w:t>1</w:t>
      </w:r>
      <w:r w:rsidR="00A14CF8" w:rsidRPr="006C516E">
        <w:rPr>
          <w:rFonts w:ascii="Arial" w:hAnsi="Arial" w:cs="Arial"/>
          <w:b/>
        </w:rPr>
        <w:t xml:space="preserve"> – Implications for care delivery and planning</w:t>
      </w:r>
      <w:r w:rsidRPr="006C516E">
        <w:rPr>
          <w:rFonts w:ascii="Arial" w:hAnsi="Arial" w:cs="Arial"/>
          <w:b/>
        </w:rPr>
        <w:t>’</w:t>
      </w:r>
      <w:r w:rsidR="00EA46AA" w:rsidRPr="006C516E">
        <w:rPr>
          <w:rFonts w:ascii="Arial" w:hAnsi="Arial" w:cs="Arial"/>
          <w:b/>
        </w:rPr>
        <w:t xml:space="preserve"> </w:t>
      </w:r>
      <w:r w:rsidR="00EA46AA" w:rsidRPr="006C516E">
        <w:rPr>
          <w:rFonts w:ascii="Arial" w:hAnsi="Arial" w:cs="Arial"/>
        </w:rPr>
        <w:t xml:space="preserve">outlines the relationship between new proposed funding model and care delivery. </w:t>
      </w:r>
    </w:p>
    <w:p w14:paraId="58F7187B" w14:textId="77777777" w:rsidR="00A14CF8" w:rsidRPr="006C516E" w:rsidRDefault="00A14CF8" w:rsidP="003A3029">
      <w:pPr>
        <w:rPr>
          <w:rFonts w:ascii="Arial" w:hAnsi="Arial" w:cs="Arial"/>
          <w:b/>
        </w:rPr>
      </w:pPr>
    </w:p>
    <w:p w14:paraId="1A72FF54" w14:textId="55B12CE9" w:rsidR="00A14CF8" w:rsidRPr="006C516E" w:rsidRDefault="00830DAA" w:rsidP="003A3029">
      <w:pPr>
        <w:rPr>
          <w:rFonts w:ascii="Arial" w:hAnsi="Arial" w:cs="Arial"/>
          <w:b/>
        </w:rPr>
      </w:pPr>
      <w:r w:rsidRPr="006C516E">
        <w:rPr>
          <w:rFonts w:ascii="Arial" w:hAnsi="Arial" w:cs="Arial"/>
          <w:b/>
        </w:rPr>
        <w:t>‘</w:t>
      </w:r>
      <w:r w:rsidR="00A14CF8" w:rsidRPr="006C516E">
        <w:rPr>
          <w:rFonts w:ascii="Arial" w:hAnsi="Arial" w:cs="Arial"/>
          <w:b/>
        </w:rPr>
        <w:t>Section 1</w:t>
      </w:r>
      <w:r w:rsidR="00F97AAE">
        <w:rPr>
          <w:rFonts w:ascii="Arial" w:hAnsi="Arial" w:cs="Arial"/>
          <w:b/>
        </w:rPr>
        <w:t>2</w:t>
      </w:r>
      <w:r w:rsidR="00A14CF8" w:rsidRPr="006C516E">
        <w:rPr>
          <w:rFonts w:ascii="Arial" w:hAnsi="Arial" w:cs="Arial"/>
          <w:b/>
        </w:rPr>
        <w:t xml:space="preserve"> – Other issues</w:t>
      </w:r>
      <w:r w:rsidRPr="006C516E">
        <w:rPr>
          <w:rFonts w:ascii="Arial" w:hAnsi="Arial" w:cs="Arial"/>
          <w:b/>
        </w:rPr>
        <w:t>’</w:t>
      </w:r>
    </w:p>
    <w:p w14:paraId="48B9E86C" w14:textId="77777777" w:rsidR="00A14CF8" w:rsidRPr="006C516E" w:rsidRDefault="00A14CF8" w:rsidP="003A3029">
      <w:pPr>
        <w:rPr>
          <w:rFonts w:ascii="Arial" w:hAnsi="Arial" w:cs="Arial"/>
        </w:rPr>
      </w:pPr>
    </w:p>
    <w:p w14:paraId="1F1645D6" w14:textId="77777777" w:rsidR="000C1CC5" w:rsidRPr="006C516E" w:rsidRDefault="00830DAA" w:rsidP="003A3029">
      <w:pPr>
        <w:rPr>
          <w:rFonts w:ascii="Arial" w:hAnsi="Arial" w:cs="Arial"/>
        </w:rPr>
      </w:pPr>
      <w:r w:rsidRPr="006C516E">
        <w:rPr>
          <w:rFonts w:ascii="Arial" w:hAnsi="Arial" w:cs="Arial"/>
          <w:b/>
        </w:rPr>
        <w:t>‘</w:t>
      </w:r>
      <w:r w:rsidR="00A14CF8" w:rsidRPr="006C516E">
        <w:rPr>
          <w:rFonts w:ascii="Arial" w:hAnsi="Arial" w:cs="Arial"/>
          <w:b/>
        </w:rPr>
        <w:t xml:space="preserve">Attachment A – </w:t>
      </w:r>
      <w:r w:rsidR="00944B06" w:rsidRPr="006C516E">
        <w:rPr>
          <w:rFonts w:ascii="Arial" w:hAnsi="Arial" w:cs="Arial"/>
          <w:b/>
        </w:rPr>
        <w:t xml:space="preserve">Background </w:t>
      </w:r>
      <w:r w:rsidR="002B1D74" w:rsidRPr="006C516E">
        <w:rPr>
          <w:rFonts w:ascii="Arial" w:hAnsi="Arial" w:cs="Arial"/>
          <w:b/>
        </w:rPr>
        <w:t xml:space="preserve">– </w:t>
      </w:r>
      <w:r w:rsidR="00944B06" w:rsidRPr="006C516E">
        <w:rPr>
          <w:rFonts w:ascii="Arial" w:hAnsi="Arial" w:cs="Arial"/>
          <w:b/>
        </w:rPr>
        <w:t>the</w:t>
      </w:r>
      <w:r w:rsidR="002B1D74" w:rsidRPr="006C516E">
        <w:rPr>
          <w:rFonts w:ascii="Arial" w:hAnsi="Arial" w:cs="Arial"/>
          <w:b/>
        </w:rPr>
        <w:t xml:space="preserve"> </w:t>
      </w:r>
      <w:r w:rsidR="00944B06" w:rsidRPr="006C516E">
        <w:rPr>
          <w:rFonts w:ascii="Arial" w:hAnsi="Arial" w:cs="Arial"/>
          <w:b/>
        </w:rPr>
        <w:t>Aged Care Funding Instrument</w:t>
      </w:r>
      <w:r w:rsidRPr="006C516E">
        <w:rPr>
          <w:rFonts w:ascii="Arial" w:hAnsi="Arial" w:cs="Arial"/>
          <w:b/>
        </w:rPr>
        <w:t xml:space="preserve"> (ACFI)’ </w:t>
      </w:r>
      <w:r w:rsidRPr="006C516E">
        <w:rPr>
          <w:rFonts w:ascii="Arial" w:hAnsi="Arial" w:cs="Arial"/>
        </w:rPr>
        <w:t>explains the current care funding model, which is underpinned by the ACFI.</w:t>
      </w:r>
    </w:p>
    <w:p w14:paraId="3481EAF9" w14:textId="77777777" w:rsidR="002B1D74" w:rsidRPr="006C516E" w:rsidRDefault="002B1D74" w:rsidP="003A3029">
      <w:pPr>
        <w:rPr>
          <w:rFonts w:ascii="Arial" w:hAnsi="Arial" w:cs="Arial"/>
          <w:b/>
        </w:rPr>
      </w:pPr>
    </w:p>
    <w:p w14:paraId="77203030" w14:textId="77777777" w:rsidR="000C1CC5" w:rsidRPr="006C516E" w:rsidRDefault="00830DAA" w:rsidP="003A3029">
      <w:pPr>
        <w:rPr>
          <w:rFonts w:ascii="Arial" w:hAnsi="Arial" w:cs="Arial"/>
        </w:rPr>
      </w:pPr>
      <w:r w:rsidRPr="006C516E">
        <w:rPr>
          <w:rFonts w:ascii="Arial" w:hAnsi="Arial" w:cs="Arial"/>
          <w:b/>
        </w:rPr>
        <w:t>‘</w:t>
      </w:r>
      <w:r w:rsidR="000C1CC5" w:rsidRPr="006C516E">
        <w:rPr>
          <w:rFonts w:ascii="Arial" w:hAnsi="Arial" w:cs="Arial"/>
          <w:b/>
        </w:rPr>
        <w:t xml:space="preserve">Attachment B </w:t>
      </w:r>
      <w:r w:rsidR="002B1D74" w:rsidRPr="006C516E">
        <w:rPr>
          <w:rFonts w:ascii="Arial" w:hAnsi="Arial" w:cs="Arial"/>
          <w:b/>
        </w:rPr>
        <w:t>–</w:t>
      </w:r>
      <w:r w:rsidR="000C1CC5" w:rsidRPr="006C516E">
        <w:rPr>
          <w:rFonts w:ascii="Arial" w:hAnsi="Arial" w:cs="Arial"/>
          <w:b/>
        </w:rPr>
        <w:t xml:space="preserve"> </w:t>
      </w:r>
      <w:r w:rsidR="002B1D74" w:rsidRPr="006C516E">
        <w:rPr>
          <w:rFonts w:ascii="Arial" w:hAnsi="Arial" w:cs="Arial"/>
          <w:b/>
        </w:rPr>
        <w:t>Summary of the RUCS</w:t>
      </w:r>
      <w:r w:rsidRPr="006C516E">
        <w:rPr>
          <w:rFonts w:ascii="Arial" w:hAnsi="Arial" w:cs="Arial"/>
          <w:b/>
        </w:rPr>
        <w:t xml:space="preserve">’ </w:t>
      </w:r>
      <w:r w:rsidRPr="006C516E">
        <w:rPr>
          <w:rFonts w:ascii="Arial" w:hAnsi="Arial" w:cs="Arial"/>
        </w:rPr>
        <w:t>provides a summary of each of the four sub-studies of the RUCS.</w:t>
      </w:r>
    </w:p>
    <w:p w14:paraId="28E5AA8F" w14:textId="77777777" w:rsidR="002B1D74" w:rsidRPr="006C516E" w:rsidRDefault="002B1D74" w:rsidP="003A3029">
      <w:pPr>
        <w:rPr>
          <w:rFonts w:ascii="Arial" w:hAnsi="Arial" w:cs="Arial"/>
          <w:b/>
        </w:rPr>
      </w:pPr>
    </w:p>
    <w:p w14:paraId="0DCCF303" w14:textId="77777777" w:rsidR="000C1CC5" w:rsidRPr="006C516E" w:rsidRDefault="00830DAA" w:rsidP="003A3029">
      <w:pPr>
        <w:rPr>
          <w:rFonts w:ascii="Arial" w:hAnsi="Arial" w:cs="Arial"/>
        </w:rPr>
      </w:pPr>
      <w:r w:rsidRPr="006C516E">
        <w:rPr>
          <w:rFonts w:ascii="Arial" w:hAnsi="Arial" w:cs="Arial"/>
          <w:b/>
        </w:rPr>
        <w:t>‘</w:t>
      </w:r>
      <w:r w:rsidR="000C1CC5" w:rsidRPr="006C516E">
        <w:rPr>
          <w:rFonts w:ascii="Arial" w:hAnsi="Arial" w:cs="Arial"/>
          <w:b/>
        </w:rPr>
        <w:t xml:space="preserve">Attachment C </w:t>
      </w:r>
      <w:r w:rsidR="002B1D74" w:rsidRPr="006C516E">
        <w:rPr>
          <w:rFonts w:ascii="Arial" w:hAnsi="Arial" w:cs="Arial"/>
          <w:b/>
        </w:rPr>
        <w:t>–</w:t>
      </w:r>
      <w:r w:rsidR="000C1CC5" w:rsidRPr="006C516E">
        <w:rPr>
          <w:rFonts w:ascii="Arial" w:hAnsi="Arial" w:cs="Arial"/>
          <w:b/>
        </w:rPr>
        <w:t xml:space="preserve"> </w:t>
      </w:r>
      <w:r w:rsidR="002B1D74" w:rsidRPr="006C516E">
        <w:rPr>
          <w:rFonts w:ascii="Arial" w:hAnsi="Arial" w:cs="Arial"/>
          <w:b/>
        </w:rPr>
        <w:t>Summary of the RUCS Reports</w:t>
      </w:r>
      <w:r w:rsidRPr="006C516E">
        <w:rPr>
          <w:rFonts w:ascii="Arial" w:hAnsi="Arial" w:cs="Arial"/>
          <w:b/>
        </w:rPr>
        <w:t xml:space="preserve">’ </w:t>
      </w:r>
      <w:r w:rsidRPr="006C516E">
        <w:rPr>
          <w:rFonts w:ascii="Arial" w:hAnsi="Arial" w:cs="Arial"/>
        </w:rPr>
        <w:t>provides an overview of the contents of the seven reports which address the key elements and results of the RUCS.</w:t>
      </w:r>
    </w:p>
    <w:p w14:paraId="0A938360" w14:textId="77777777" w:rsidR="002B1D74" w:rsidRPr="006C516E" w:rsidRDefault="002B1D74" w:rsidP="003A3029">
      <w:pPr>
        <w:rPr>
          <w:rFonts w:ascii="Arial" w:hAnsi="Arial" w:cs="Arial"/>
          <w:b/>
        </w:rPr>
      </w:pPr>
    </w:p>
    <w:p w14:paraId="58239FB6" w14:textId="77777777" w:rsidR="000C1CC5" w:rsidRPr="006C516E" w:rsidRDefault="00830DAA" w:rsidP="003A3029">
      <w:pPr>
        <w:rPr>
          <w:rFonts w:ascii="Arial" w:hAnsi="Arial" w:cs="Arial"/>
        </w:rPr>
      </w:pPr>
      <w:r w:rsidRPr="006C516E">
        <w:rPr>
          <w:rFonts w:ascii="Arial" w:hAnsi="Arial" w:cs="Arial"/>
          <w:b/>
        </w:rPr>
        <w:t>‘</w:t>
      </w:r>
      <w:r w:rsidR="000C1CC5" w:rsidRPr="006C516E">
        <w:rPr>
          <w:rFonts w:ascii="Arial" w:hAnsi="Arial" w:cs="Arial"/>
          <w:b/>
        </w:rPr>
        <w:t xml:space="preserve">Attachment D </w:t>
      </w:r>
      <w:r w:rsidR="002B1D74" w:rsidRPr="006C516E">
        <w:rPr>
          <w:rFonts w:ascii="Arial" w:hAnsi="Arial" w:cs="Arial"/>
          <w:b/>
        </w:rPr>
        <w:t>–</w:t>
      </w:r>
      <w:r w:rsidR="000C1CC5" w:rsidRPr="006C516E">
        <w:rPr>
          <w:rFonts w:ascii="Arial" w:hAnsi="Arial" w:cs="Arial"/>
          <w:b/>
        </w:rPr>
        <w:t xml:space="preserve"> </w:t>
      </w:r>
      <w:r w:rsidR="002B1D74" w:rsidRPr="006C516E">
        <w:rPr>
          <w:rFonts w:ascii="Arial" w:hAnsi="Arial" w:cs="Arial"/>
          <w:b/>
        </w:rPr>
        <w:t>The AN-ACC Assessment Tool</w:t>
      </w:r>
      <w:r w:rsidRPr="006C516E">
        <w:rPr>
          <w:rFonts w:ascii="Arial" w:hAnsi="Arial" w:cs="Arial"/>
          <w:b/>
        </w:rPr>
        <w:t xml:space="preserve">’ </w:t>
      </w:r>
      <w:r w:rsidR="00EA46AA" w:rsidRPr="006C516E">
        <w:rPr>
          <w:rFonts w:ascii="Arial" w:hAnsi="Arial" w:cs="Arial"/>
        </w:rPr>
        <w:t>shows the assessment tool developed during the RUCS.</w:t>
      </w:r>
    </w:p>
    <w:p w14:paraId="69B2FEE7" w14:textId="77777777" w:rsidR="002B1D74" w:rsidRPr="006C516E" w:rsidRDefault="002B1D74" w:rsidP="003A3029">
      <w:pPr>
        <w:rPr>
          <w:rFonts w:ascii="Arial" w:hAnsi="Arial" w:cs="Arial"/>
          <w:b/>
        </w:rPr>
      </w:pPr>
    </w:p>
    <w:p w14:paraId="021AEE05" w14:textId="766E6DA5" w:rsidR="00051307" w:rsidRPr="006C516E" w:rsidRDefault="00830DAA" w:rsidP="003A3029">
      <w:pPr>
        <w:rPr>
          <w:rFonts w:ascii="Arial" w:hAnsi="Arial" w:cs="Arial"/>
        </w:rPr>
      </w:pPr>
      <w:r w:rsidRPr="006C516E">
        <w:rPr>
          <w:rFonts w:ascii="Arial" w:hAnsi="Arial" w:cs="Arial"/>
          <w:b/>
        </w:rPr>
        <w:t>‘</w:t>
      </w:r>
      <w:r w:rsidR="000C1CC5" w:rsidRPr="006C516E">
        <w:rPr>
          <w:rFonts w:ascii="Arial" w:hAnsi="Arial" w:cs="Arial"/>
          <w:b/>
        </w:rPr>
        <w:t xml:space="preserve">Attachment E </w:t>
      </w:r>
      <w:r w:rsidR="002B1D74" w:rsidRPr="006C516E">
        <w:rPr>
          <w:rFonts w:ascii="Arial" w:hAnsi="Arial" w:cs="Arial"/>
          <w:b/>
        </w:rPr>
        <w:t>–</w:t>
      </w:r>
      <w:r w:rsidR="000C1CC5" w:rsidRPr="006C516E">
        <w:rPr>
          <w:rFonts w:ascii="Arial" w:hAnsi="Arial" w:cs="Arial"/>
          <w:b/>
        </w:rPr>
        <w:t xml:space="preserve"> </w:t>
      </w:r>
      <w:r w:rsidR="002B1D74" w:rsidRPr="006C516E">
        <w:rPr>
          <w:rFonts w:ascii="Arial" w:hAnsi="Arial" w:cs="Arial"/>
          <w:b/>
        </w:rPr>
        <w:t>AHSRI’s consolidated recommendations</w:t>
      </w:r>
      <w:r w:rsidRPr="006C516E">
        <w:rPr>
          <w:rFonts w:ascii="Arial" w:hAnsi="Arial" w:cs="Arial"/>
          <w:b/>
        </w:rPr>
        <w:t>’</w:t>
      </w:r>
      <w:r w:rsidR="00EA46AA" w:rsidRPr="006C516E">
        <w:rPr>
          <w:rFonts w:ascii="Arial" w:hAnsi="Arial" w:cs="Arial"/>
          <w:b/>
        </w:rPr>
        <w:t xml:space="preserve"> </w:t>
      </w:r>
      <w:r w:rsidR="00EA46AA" w:rsidRPr="006C516E">
        <w:rPr>
          <w:rFonts w:ascii="Arial" w:hAnsi="Arial" w:cs="Arial"/>
        </w:rPr>
        <w:t>is an extract of RUCS Report 6, listi</w:t>
      </w:r>
      <w:r w:rsidR="008C6901">
        <w:rPr>
          <w:rFonts w:ascii="Arial" w:hAnsi="Arial" w:cs="Arial"/>
        </w:rPr>
        <w:t>ng all AHSRI’s recommendations.</w:t>
      </w:r>
    </w:p>
    <w:p w14:paraId="5E29F85A" w14:textId="77777777" w:rsidR="00051307" w:rsidRPr="006C516E" w:rsidRDefault="00051307" w:rsidP="003A3029">
      <w:pPr>
        <w:rPr>
          <w:rFonts w:ascii="Arial" w:hAnsi="Arial" w:cs="Arial"/>
        </w:rPr>
      </w:pPr>
      <w:r w:rsidRPr="006C516E">
        <w:rPr>
          <w:rFonts w:ascii="Arial" w:hAnsi="Arial" w:cs="Arial"/>
        </w:rPr>
        <w:br w:type="page"/>
      </w:r>
    </w:p>
    <w:p w14:paraId="0B2979EE" w14:textId="77777777" w:rsidR="00CE444D" w:rsidRPr="006C516E" w:rsidRDefault="008A30A2" w:rsidP="003A3029">
      <w:pPr>
        <w:pStyle w:val="Heading1"/>
      </w:pPr>
      <w:bookmarkStart w:id="7" w:name="_Toc3383713"/>
      <w:r w:rsidRPr="006C516E">
        <w:lastRenderedPageBreak/>
        <w:t xml:space="preserve">Section 4 – </w:t>
      </w:r>
      <w:r w:rsidR="00051307" w:rsidRPr="006C516E">
        <w:t>Background</w:t>
      </w:r>
      <w:bookmarkEnd w:id="7"/>
      <w:r w:rsidRPr="006C516E">
        <w:t xml:space="preserve"> </w:t>
      </w:r>
    </w:p>
    <w:p w14:paraId="513752C9" w14:textId="77777777" w:rsidR="00051307" w:rsidRPr="006C516E" w:rsidRDefault="00051307" w:rsidP="003A3029">
      <w:pPr>
        <w:rPr>
          <w:rFonts w:ascii="Arial" w:hAnsi="Arial" w:cs="Arial"/>
        </w:rPr>
      </w:pPr>
    </w:p>
    <w:p w14:paraId="526FD31E" w14:textId="77777777" w:rsidR="00051307" w:rsidRPr="006C516E" w:rsidRDefault="00051307" w:rsidP="003A3029">
      <w:pPr>
        <w:pStyle w:val="Heading2"/>
      </w:pPr>
      <w:bookmarkStart w:id="8" w:name="_Toc3383714"/>
      <w:r w:rsidRPr="006C516E">
        <w:t>P</w:t>
      </w:r>
      <w:r w:rsidR="008A30A2" w:rsidRPr="006C516E">
        <w:t xml:space="preserve">art A – </w:t>
      </w:r>
      <w:r w:rsidRPr="006C516E">
        <w:t>The</w:t>
      </w:r>
      <w:r w:rsidR="008A30A2" w:rsidRPr="006C516E">
        <w:t xml:space="preserve"> </w:t>
      </w:r>
      <w:r w:rsidRPr="006C516E">
        <w:t>need for funding reform</w:t>
      </w:r>
      <w:bookmarkEnd w:id="8"/>
    </w:p>
    <w:p w14:paraId="27030788" w14:textId="77777777" w:rsidR="00CE444D" w:rsidRPr="006C516E" w:rsidRDefault="00CE444D" w:rsidP="003A3029">
      <w:pPr>
        <w:rPr>
          <w:rFonts w:ascii="Arial" w:hAnsi="Arial" w:cs="Arial"/>
        </w:rPr>
      </w:pPr>
    </w:p>
    <w:p w14:paraId="3A44B9E2" w14:textId="7D73C053" w:rsidR="00D018D2" w:rsidRPr="006C516E" w:rsidRDefault="001D7C2B" w:rsidP="003A3029">
      <w:pPr>
        <w:rPr>
          <w:rFonts w:ascii="Arial" w:hAnsi="Arial" w:cs="Arial"/>
        </w:rPr>
      </w:pPr>
      <w:r w:rsidRPr="006C516E">
        <w:rPr>
          <w:rFonts w:ascii="Arial" w:hAnsi="Arial" w:cs="Arial"/>
        </w:rPr>
        <w:t xml:space="preserve">Australian Government expenditure on </w:t>
      </w:r>
      <w:r w:rsidR="00051307" w:rsidRPr="006C516E">
        <w:rPr>
          <w:rFonts w:ascii="Arial" w:hAnsi="Arial" w:cs="Arial"/>
        </w:rPr>
        <w:t xml:space="preserve">residential </w:t>
      </w:r>
      <w:r w:rsidRPr="006C516E">
        <w:rPr>
          <w:rFonts w:ascii="Arial" w:hAnsi="Arial" w:cs="Arial"/>
        </w:rPr>
        <w:t xml:space="preserve">aged care subsidies and supplements totalled </w:t>
      </w:r>
      <w:r w:rsidR="00D018D2" w:rsidRPr="006C516E">
        <w:rPr>
          <w:rFonts w:ascii="Arial" w:hAnsi="Arial" w:cs="Arial"/>
        </w:rPr>
        <w:t>$12.2 billion dollars in 2017/18 of which $11.3 billion dollars were payments made under the Aged Care Funding Instrument</w:t>
      </w:r>
      <w:r w:rsidR="002D4E5D" w:rsidRPr="006C516E">
        <w:rPr>
          <w:rFonts w:ascii="Arial" w:hAnsi="Arial" w:cs="Arial"/>
        </w:rPr>
        <w:t xml:space="preserve"> (ACFI)</w:t>
      </w:r>
      <w:r w:rsidR="00D018D2" w:rsidRPr="006C516E">
        <w:rPr>
          <w:rFonts w:ascii="Arial" w:hAnsi="Arial" w:cs="Arial"/>
        </w:rPr>
        <w:t xml:space="preserve">.  The residual amounts </w:t>
      </w:r>
      <w:r w:rsidR="00607A5B" w:rsidRPr="006C516E">
        <w:rPr>
          <w:rFonts w:ascii="Arial" w:hAnsi="Arial" w:cs="Arial"/>
        </w:rPr>
        <w:t xml:space="preserve">represent </w:t>
      </w:r>
      <w:r w:rsidR="00D018D2" w:rsidRPr="006C516E">
        <w:rPr>
          <w:rFonts w:ascii="Arial" w:hAnsi="Arial" w:cs="Arial"/>
        </w:rPr>
        <w:t>accommodation support for low means residents and a range of other smaller subsidies and supplements.</w:t>
      </w:r>
    </w:p>
    <w:p w14:paraId="799BE5E5" w14:textId="77777777" w:rsidR="00D018D2" w:rsidRPr="006C516E" w:rsidRDefault="00D018D2" w:rsidP="003A3029">
      <w:pPr>
        <w:rPr>
          <w:rFonts w:ascii="Arial" w:hAnsi="Arial" w:cs="Arial"/>
        </w:rPr>
      </w:pPr>
    </w:p>
    <w:p w14:paraId="6CCF7760" w14:textId="77777777" w:rsidR="00EA6FD0" w:rsidRPr="006C516E" w:rsidRDefault="00D018D2" w:rsidP="003A3029">
      <w:pPr>
        <w:rPr>
          <w:rFonts w:ascii="Arial" w:hAnsi="Arial" w:cs="Arial"/>
        </w:rPr>
      </w:pPr>
      <w:r w:rsidRPr="006C516E">
        <w:rPr>
          <w:rFonts w:ascii="Arial" w:hAnsi="Arial" w:cs="Arial"/>
        </w:rPr>
        <w:t xml:space="preserve">The Government has been examining options for </w:t>
      </w:r>
      <w:r w:rsidR="00EA6FD0" w:rsidRPr="006C516E">
        <w:rPr>
          <w:rFonts w:ascii="Arial" w:hAnsi="Arial" w:cs="Arial"/>
        </w:rPr>
        <w:t>a new funding tool and system to replace the ACFI.  The arguments for a new funding tool and system were summarised in the independent Aged Care Financing Authority’s 2018 Annual Report which stated:</w:t>
      </w:r>
    </w:p>
    <w:p w14:paraId="6E23A15F" w14:textId="77777777" w:rsidR="00A33E6A" w:rsidRPr="006C516E" w:rsidRDefault="00EA6FD0" w:rsidP="003A3029">
      <w:pPr>
        <w:rPr>
          <w:rFonts w:ascii="Arial" w:hAnsi="Arial" w:cs="Arial"/>
        </w:rPr>
      </w:pPr>
      <w:r w:rsidRPr="006C516E">
        <w:rPr>
          <w:rFonts w:ascii="Arial" w:hAnsi="Arial" w:cs="Arial"/>
        </w:rPr>
        <w:t xml:space="preserve"> </w:t>
      </w:r>
    </w:p>
    <w:p w14:paraId="67F2B152" w14:textId="77777777" w:rsidR="00EA6FD0" w:rsidRPr="006C516E" w:rsidRDefault="00EA6FD0" w:rsidP="003A3029">
      <w:pPr>
        <w:ind w:left="720"/>
        <w:rPr>
          <w:rFonts w:ascii="Arial" w:hAnsi="Arial" w:cs="Arial"/>
          <w:i/>
          <w:lang w:val="en-GB"/>
        </w:rPr>
      </w:pPr>
      <w:r w:rsidRPr="006C516E">
        <w:rPr>
          <w:rFonts w:ascii="Arial" w:hAnsi="Arial" w:cs="Arial"/>
          <w:i/>
          <w:lang w:val="en-GB"/>
        </w:rPr>
        <w:t>“there is a need for a more stable, more contemporary, more efficient and more effective funding tool and system which provides greater financial stability to both the residential aged care sector and the Government</w:t>
      </w:r>
    </w:p>
    <w:p w14:paraId="648981B6" w14:textId="77777777" w:rsidR="00EA6FD0" w:rsidRPr="006C516E" w:rsidRDefault="00EA6FD0" w:rsidP="003A3029">
      <w:pPr>
        <w:ind w:left="720"/>
        <w:rPr>
          <w:rFonts w:ascii="Arial" w:hAnsi="Arial" w:cs="Arial"/>
          <w:i/>
          <w:lang w:val="en-GB"/>
        </w:rPr>
      </w:pPr>
    </w:p>
    <w:p w14:paraId="0A4204AD" w14:textId="77777777" w:rsidR="00EA6FD0" w:rsidRPr="006C516E" w:rsidRDefault="00EA6FD0" w:rsidP="003A3029">
      <w:pPr>
        <w:ind w:left="720"/>
        <w:rPr>
          <w:rFonts w:ascii="Arial" w:hAnsi="Arial" w:cs="Arial"/>
          <w:i/>
          <w:lang w:val="en-GB"/>
        </w:rPr>
      </w:pPr>
      <w:r w:rsidRPr="006C516E">
        <w:rPr>
          <w:rFonts w:ascii="Arial" w:hAnsi="Arial" w:cs="Arial"/>
          <w:i/>
          <w:lang w:val="en-GB"/>
        </w:rPr>
        <w:t>ACFA considers the current ACFI tool may also suffer from no longer being contemporary (such as incentivising certain, sometimes outdated, types and modes of care delivery), it could encourage inefficiencies (through providers focusing limited resources on ACFI claiming) and appears to lack stability (with a history of cycles of high growth followed by low or no growth as higher than expected provider claiming leads to Government taking measures to reduce funding growth rates back to estimated levels).</w:t>
      </w:r>
    </w:p>
    <w:p w14:paraId="21BA275B" w14:textId="77777777" w:rsidR="00EA6FD0" w:rsidRPr="006C516E" w:rsidRDefault="00EA6FD0" w:rsidP="003A3029">
      <w:pPr>
        <w:rPr>
          <w:rFonts w:ascii="Arial" w:hAnsi="Arial" w:cs="Arial"/>
          <w:i/>
          <w:lang w:val="en-GB"/>
        </w:rPr>
      </w:pPr>
    </w:p>
    <w:p w14:paraId="7D84A4F9" w14:textId="77777777" w:rsidR="00EA6FD0" w:rsidRPr="006C516E" w:rsidRDefault="00EA6FD0" w:rsidP="003A3029">
      <w:pPr>
        <w:ind w:left="720"/>
        <w:rPr>
          <w:rFonts w:ascii="Arial" w:hAnsi="Arial" w:cs="Arial"/>
          <w:i/>
          <w:lang w:val="en-GB"/>
        </w:rPr>
      </w:pPr>
      <w:r w:rsidRPr="006C516E">
        <w:rPr>
          <w:rFonts w:ascii="Arial" w:hAnsi="Arial" w:cs="Arial"/>
          <w:i/>
          <w:lang w:val="en-GB"/>
        </w:rPr>
        <w:t>ACFA considers that a key element of any reform package should be a tool that accurately and objectively assesses the funding needs of residents.</w:t>
      </w:r>
    </w:p>
    <w:p w14:paraId="64B9D945" w14:textId="77777777" w:rsidR="00EA6FD0" w:rsidRPr="006C516E" w:rsidRDefault="00EA6FD0" w:rsidP="003A3029">
      <w:pPr>
        <w:rPr>
          <w:rFonts w:ascii="Arial" w:hAnsi="Arial" w:cs="Arial"/>
          <w:i/>
          <w:lang w:val="en-GB"/>
        </w:rPr>
      </w:pPr>
    </w:p>
    <w:p w14:paraId="48D10CCC" w14:textId="77777777" w:rsidR="00EA6FD0" w:rsidRPr="006C516E" w:rsidRDefault="00EA6FD0" w:rsidP="003A3029">
      <w:pPr>
        <w:ind w:left="720"/>
        <w:rPr>
          <w:rFonts w:ascii="Arial" w:hAnsi="Arial" w:cs="Arial"/>
          <w:i/>
          <w:lang w:val="en-GB"/>
        </w:rPr>
      </w:pPr>
      <w:r w:rsidRPr="006C516E">
        <w:rPr>
          <w:rFonts w:ascii="Arial" w:hAnsi="Arial" w:cs="Arial"/>
          <w:i/>
          <w:lang w:val="en-GB"/>
        </w:rPr>
        <w:t>A more efficient Government funding system would allow provider assessment resources to be devoted to assessment for care planning purposes. A more contemporary system would support delivery of the right types of care. A more stable system would provide greater certainty on funding levels for government, providers and investors, establishing a system that encourages investment in the sector to meet future demographic challenges as demand for aged care grows.”</w:t>
      </w:r>
    </w:p>
    <w:p w14:paraId="16E4DB0F" w14:textId="77777777" w:rsidR="00EA6FD0" w:rsidRPr="006C516E" w:rsidRDefault="00EA6FD0" w:rsidP="003A3029">
      <w:pPr>
        <w:rPr>
          <w:rFonts w:ascii="Arial" w:hAnsi="Arial" w:cs="Arial"/>
        </w:rPr>
      </w:pPr>
    </w:p>
    <w:p w14:paraId="6CBBAB2E" w14:textId="3B45E658" w:rsidR="002D4E5D" w:rsidRPr="006C516E" w:rsidRDefault="000B3FA3" w:rsidP="003A3029">
      <w:pPr>
        <w:rPr>
          <w:rFonts w:ascii="Arial" w:hAnsi="Arial" w:cs="Arial"/>
        </w:rPr>
      </w:pPr>
      <w:r w:rsidRPr="006C516E">
        <w:rPr>
          <w:rFonts w:ascii="Arial" w:hAnsi="Arial" w:cs="Arial"/>
        </w:rPr>
        <w:t xml:space="preserve">The Government commissioned two reports to help inform deliberations on what a revised funding model could look like.  A report by the University of Wollongong </w:t>
      </w:r>
      <w:r w:rsidRPr="006C516E">
        <w:rPr>
          <w:rFonts w:ascii="Arial" w:hAnsi="Arial" w:cs="Arial"/>
          <w:i/>
        </w:rPr>
        <w:t>Alternative Aged Care Assessment, Classification Systems and Funding Models</w:t>
      </w:r>
      <w:r w:rsidRPr="006C516E">
        <w:rPr>
          <w:rFonts w:ascii="Arial" w:hAnsi="Arial" w:cs="Arial"/>
        </w:rPr>
        <w:t xml:space="preserve"> provided recommendations on options for long term reform of residential care funding arrangements.  </w:t>
      </w:r>
      <w:r w:rsidR="006D6F8B" w:rsidRPr="006C516E">
        <w:rPr>
          <w:rFonts w:ascii="Arial" w:hAnsi="Arial" w:cs="Arial"/>
        </w:rPr>
        <w:t>T</w:t>
      </w:r>
      <w:r w:rsidRPr="006C516E">
        <w:rPr>
          <w:rFonts w:ascii="Arial" w:hAnsi="Arial" w:cs="Arial"/>
        </w:rPr>
        <w:t>he follow up Resource Utilisation and Classification Study</w:t>
      </w:r>
      <w:r w:rsidR="00423339" w:rsidRPr="006C516E">
        <w:rPr>
          <w:rFonts w:ascii="Arial" w:hAnsi="Arial" w:cs="Arial"/>
        </w:rPr>
        <w:t xml:space="preserve"> </w:t>
      </w:r>
      <w:r w:rsidRPr="006C516E">
        <w:rPr>
          <w:rFonts w:ascii="Arial" w:hAnsi="Arial" w:cs="Arial"/>
        </w:rPr>
        <w:t>has led to the proposed model described in this paper.</w:t>
      </w:r>
    </w:p>
    <w:p w14:paraId="641773E8" w14:textId="77777777" w:rsidR="002D4E5D" w:rsidRPr="006C516E" w:rsidRDefault="002D4E5D" w:rsidP="003A3029">
      <w:pPr>
        <w:rPr>
          <w:rFonts w:ascii="Arial" w:hAnsi="Arial" w:cs="Arial"/>
        </w:rPr>
      </w:pPr>
    </w:p>
    <w:p w14:paraId="19D4D633" w14:textId="77777777" w:rsidR="002D4E5D" w:rsidRPr="006C516E" w:rsidRDefault="000B3FA3" w:rsidP="003A3029">
      <w:pPr>
        <w:rPr>
          <w:rFonts w:ascii="Arial" w:hAnsi="Arial" w:cs="Arial"/>
        </w:rPr>
      </w:pPr>
      <w:r w:rsidRPr="006C516E">
        <w:rPr>
          <w:rFonts w:ascii="Arial" w:hAnsi="Arial" w:cs="Arial"/>
        </w:rPr>
        <w:t xml:space="preserve">A report by Applied Aged Care Solutions </w:t>
      </w:r>
      <w:r w:rsidR="00B86A98" w:rsidRPr="006C516E">
        <w:rPr>
          <w:rFonts w:ascii="Arial" w:hAnsi="Arial" w:cs="Arial"/>
          <w:i/>
        </w:rPr>
        <w:t>Review of the Aged Care Funding Instrument</w:t>
      </w:r>
      <w:r w:rsidR="00B86A98" w:rsidRPr="006C516E">
        <w:rPr>
          <w:rFonts w:ascii="Arial" w:hAnsi="Arial" w:cs="Arial"/>
        </w:rPr>
        <w:t xml:space="preserve"> </w:t>
      </w:r>
      <w:r w:rsidRPr="006C516E">
        <w:rPr>
          <w:rFonts w:ascii="Arial" w:hAnsi="Arial" w:cs="Arial"/>
        </w:rPr>
        <w:t xml:space="preserve">looked at options for retaining but amending ACFI.  After considering these options the Government’s focus has been on the model proposed by the </w:t>
      </w:r>
      <w:r w:rsidRPr="006C516E">
        <w:rPr>
          <w:rFonts w:ascii="Arial" w:hAnsi="Arial" w:cs="Arial"/>
        </w:rPr>
        <w:lastRenderedPageBreak/>
        <w:t xml:space="preserve">University of Wollongong outlined in this consultation paper.  Both of those earlier reports are available on the Department’s website at </w:t>
      </w:r>
    </w:p>
    <w:p w14:paraId="64B485F8" w14:textId="509FB44D" w:rsidR="000B3FA3" w:rsidRPr="006C516E" w:rsidRDefault="00E622FD" w:rsidP="003A3029">
      <w:pPr>
        <w:rPr>
          <w:rFonts w:ascii="Arial" w:hAnsi="Arial" w:cs="Arial"/>
        </w:rPr>
      </w:pPr>
      <w:hyperlink r:id="rId11" w:history="1">
        <w:r w:rsidR="00BC2BD5" w:rsidRPr="006C516E">
          <w:rPr>
            <w:rStyle w:val="Hyperlink"/>
            <w:rFonts w:ascii="Arial" w:hAnsi="Arial" w:cs="Arial"/>
          </w:rPr>
          <w:t>www.agedcare.health.gov.au/reform/residential-aged-care-reform</w:t>
        </w:r>
      </w:hyperlink>
      <w:r w:rsidR="00BC2BD5" w:rsidRPr="006C516E">
        <w:rPr>
          <w:rFonts w:ascii="Arial" w:hAnsi="Arial" w:cs="Arial"/>
        </w:rPr>
        <w:t xml:space="preserve">. </w:t>
      </w:r>
    </w:p>
    <w:p w14:paraId="7C846BC8" w14:textId="77777777" w:rsidR="000B3FA3" w:rsidRPr="006C516E" w:rsidRDefault="000B3FA3" w:rsidP="003A3029">
      <w:pPr>
        <w:rPr>
          <w:rFonts w:ascii="Arial" w:hAnsi="Arial" w:cs="Arial"/>
        </w:rPr>
      </w:pPr>
    </w:p>
    <w:p w14:paraId="7F27DF0C" w14:textId="77777777" w:rsidR="00607A5B" w:rsidRPr="006C516E" w:rsidRDefault="00607A5B" w:rsidP="003A3029">
      <w:pPr>
        <w:rPr>
          <w:rFonts w:ascii="Arial" w:hAnsi="Arial" w:cs="Arial"/>
        </w:rPr>
      </w:pPr>
      <w:r w:rsidRPr="006C516E">
        <w:rPr>
          <w:rFonts w:ascii="Arial" w:hAnsi="Arial" w:cs="Arial"/>
        </w:rPr>
        <w:t xml:space="preserve">A summary of how the current ACFI model works is at </w:t>
      </w:r>
      <w:r w:rsidRPr="006C516E">
        <w:rPr>
          <w:rFonts w:ascii="Arial" w:hAnsi="Arial" w:cs="Arial"/>
          <w:u w:val="single"/>
        </w:rPr>
        <w:t>Attachment A</w:t>
      </w:r>
      <w:r w:rsidRPr="006C516E">
        <w:rPr>
          <w:rFonts w:ascii="Arial" w:hAnsi="Arial" w:cs="Arial"/>
        </w:rPr>
        <w:t>.</w:t>
      </w:r>
    </w:p>
    <w:p w14:paraId="37A4D841" w14:textId="77777777" w:rsidR="008A30A2" w:rsidRPr="006C516E" w:rsidRDefault="008A30A2" w:rsidP="003A3029">
      <w:pPr>
        <w:rPr>
          <w:rFonts w:ascii="Arial" w:hAnsi="Arial" w:cs="Arial"/>
        </w:rPr>
      </w:pPr>
    </w:p>
    <w:p w14:paraId="4A090A0F" w14:textId="339D1B45" w:rsidR="000B3FA3" w:rsidRPr="006C516E" w:rsidRDefault="000B3FA3" w:rsidP="003A3029">
      <w:pPr>
        <w:pStyle w:val="Heading2"/>
      </w:pPr>
      <w:bookmarkStart w:id="9" w:name="_Toc3383715"/>
      <w:r w:rsidRPr="006C516E">
        <w:t>Part B – The Resource Utilisation and Classification Study</w:t>
      </w:r>
      <w:bookmarkEnd w:id="9"/>
      <w:r w:rsidRPr="006C516E">
        <w:t xml:space="preserve"> </w:t>
      </w:r>
    </w:p>
    <w:p w14:paraId="57D3B01F" w14:textId="571D6284" w:rsidR="001F1964" w:rsidRPr="006C516E" w:rsidRDefault="00A33E6A" w:rsidP="003A3029">
      <w:pPr>
        <w:pStyle w:val="Normal-nospacing"/>
        <w:rPr>
          <w:rFonts w:ascii="Arial" w:hAnsi="Arial" w:cs="Arial"/>
        </w:rPr>
      </w:pPr>
      <w:r w:rsidRPr="006C516E">
        <w:rPr>
          <w:rFonts w:ascii="Arial" w:hAnsi="Arial" w:cs="Arial"/>
        </w:rPr>
        <w:t xml:space="preserve">The </w:t>
      </w:r>
      <w:r w:rsidR="00D9538B" w:rsidRPr="006C516E">
        <w:rPr>
          <w:rFonts w:ascii="Arial" w:hAnsi="Arial" w:cs="Arial"/>
        </w:rPr>
        <w:t>Department</w:t>
      </w:r>
      <w:r w:rsidRPr="006C516E">
        <w:rPr>
          <w:rFonts w:ascii="Arial" w:hAnsi="Arial" w:cs="Arial"/>
        </w:rPr>
        <w:t xml:space="preserve"> subsequently commissioned</w:t>
      </w:r>
      <w:r w:rsidR="00BC2BD5" w:rsidRPr="006C516E">
        <w:rPr>
          <w:rFonts w:ascii="Arial" w:hAnsi="Arial" w:cs="Arial"/>
        </w:rPr>
        <w:t xml:space="preserve"> Australian Health Services Research Institute (AHSRI) at</w:t>
      </w:r>
      <w:r w:rsidRPr="006C516E">
        <w:rPr>
          <w:rFonts w:ascii="Arial" w:hAnsi="Arial" w:cs="Arial"/>
        </w:rPr>
        <w:t xml:space="preserve"> the </w:t>
      </w:r>
      <w:r w:rsidR="000B3FA3" w:rsidRPr="006C516E">
        <w:rPr>
          <w:rFonts w:ascii="Arial" w:hAnsi="Arial" w:cs="Arial"/>
        </w:rPr>
        <w:t>University of Wollongong to undertake the</w:t>
      </w:r>
      <w:r w:rsidR="003424C3" w:rsidRPr="006C516E">
        <w:rPr>
          <w:rFonts w:ascii="Arial" w:hAnsi="Arial" w:cs="Arial"/>
        </w:rPr>
        <w:t xml:space="preserve"> RUCS</w:t>
      </w:r>
      <w:r w:rsidR="00DE305C" w:rsidRPr="006C516E">
        <w:rPr>
          <w:rFonts w:ascii="Arial" w:hAnsi="Arial" w:cs="Arial"/>
        </w:rPr>
        <w:t xml:space="preserve"> </w:t>
      </w:r>
      <w:r w:rsidRPr="006C516E">
        <w:rPr>
          <w:rFonts w:ascii="Arial" w:hAnsi="Arial" w:cs="Arial"/>
        </w:rPr>
        <w:t>to identify and measure the drivers of resource</w:t>
      </w:r>
      <w:r w:rsidR="001F1964" w:rsidRPr="006C516E">
        <w:rPr>
          <w:rFonts w:ascii="Arial" w:hAnsi="Arial" w:cs="Arial"/>
        </w:rPr>
        <w:t>/cost</w:t>
      </w:r>
      <w:r w:rsidRPr="006C516E">
        <w:rPr>
          <w:rFonts w:ascii="Arial" w:hAnsi="Arial" w:cs="Arial"/>
        </w:rPr>
        <w:t xml:space="preserve"> utilisation in residential a</w:t>
      </w:r>
      <w:r w:rsidR="00D9538B" w:rsidRPr="006C516E">
        <w:rPr>
          <w:rFonts w:ascii="Arial" w:hAnsi="Arial" w:cs="Arial"/>
        </w:rPr>
        <w:t>ged care and develop and test a</w:t>
      </w:r>
      <w:r w:rsidRPr="006C516E">
        <w:rPr>
          <w:rFonts w:ascii="Arial" w:hAnsi="Arial" w:cs="Arial"/>
        </w:rPr>
        <w:t xml:space="preserve"> </w:t>
      </w:r>
      <w:r w:rsidR="00D9538B" w:rsidRPr="006C516E">
        <w:rPr>
          <w:rFonts w:ascii="Arial" w:hAnsi="Arial" w:cs="Arial"/>
        </w:rPr>
        <w:t>fixed variable funding model</w:t>
      </w:r>
      <w:r w:rsidRPr="006C516E">
        <w:rPr>
          <w:rFonts w:ascii="Arial" w:hAnsi="Arial" w:cs="Arial"/>
        </w:rPr>
        <w:t xml:space="preserve">. </w:t>
      </w:r>
      <w:r w:rsidR="000B3FA3" w:rsidRPr="006C516E">
        <w:rPr>
          <w:rFonts w:ascii="Arial" w:hAnsi="Arial" w:cs="Arial"/>
        </w:rPr>
        <w:t xml:space="preserve"> This </w:t>
      </w:r>
      <w:r w:rsidR="00BC2BD5" w:rsidRPr="006C516E">
        <w:rPr>
          <w:rFonts w:ascii="Arial" w:hAnsi="Arial" w:cs="Arial"/>
        </w:rPr>
        <w:t>s</w:t>
      </w:r>
      <w:r w:rsidR="000B3FA3" w:rsidRPr="006C516E">
        <w:rPr>
          <w:rFonts w:ascii="Arial" w:hAnsi="Arial" w:cs="Arial"/>
        </w:rPr>
        <w:t xml:space="preserve">tudy was essential to developing a sound </w:t>
      </w:r>
      <w:r w:rsidR="001F1964" w:rsidRPr="006C516E">
        <w:rPr>
          <w:rFonts w:ascii="Arial" w:hAnsi="Arial" w:cs="Arial"/>
        </w:rPr>
        <w:t xml:space="preserve">empirical </w:t>
      </w:r>
      <w:r w:rsidR="000B3FA3" w:rsidRPr="006C516E">
        <w:rPr>
          <w:rFonts w:ascii="Arial" w:hAnsi="Arial" w:cs="Arial"/>
        </w:rPr>
        <w:t xml:space="preserve">evidence base on </w:t>
      </w:r>
      <w:r w:rsidR="001F1964" w:rsidRPr="006C516E">
        <w:rPr>
          <w:rFonts w:ascii="Arial" w:eastAsia="Calibri" w:hAnsi="Arial" w:cs="Arial"/>
        </w:rPr>
        <w:t xml:space="preserve">what drives relative care costs in residential aged care, both at the resident and facility level, to help inform Government </w:t>
      </w:r>
      <w:r w:rsidR="002D4E5D" w:rsidRPr="006C516E">
        <w:rPr>
          <w:rFonts w:ascii="Arial" w:eastAsia="Calibri" w:hAnsi="Arial" w:cs="Arial"/>
        </w:rPr>
        <w:t>consideration of</w:t>
      </w:r>
      <w:r w:rsidR="001F1964" w:rsidRPr="006C516E">
        <w:rPr>
          <w:rFonts w:ascii="Arial" w:eastAsia="Calibri" w:hAnsi="Arial" w:cs="Arial"/>
        </w:rPr>
        <w:t xml:space="preserve"> reform options and </w:t>
      </w:r>
      <w:r w:rsidR="002D4E5D" w:rsidRPr="006C516E">
        <w:rPr>
          <w:rFonts w:ascii="Arial" w:eastAsia="Calibri" w:hAnsi="Arial" w:cs="Arial"/>
        </w:rPr>
        <w:t xml:space="preserve">in the </w:t>
      </w:r>
      <w:r w:rsidR="001F1964" w:rsidRPr="006C516E">
        <w:rPr>
          <w:rFonts w:ascii="Arial" w:eastAsia="Calibri" w:hAnsi="Arial" w:cs="Arial"/>
        </w:rPr>
        <w:t xml:space="preserve">development and design of a new funding model. </w:t>
      </w:r>
    </w:p>
    <w:p w14:paraId="6F188AD2" w14:textId="77777777" w:rsidR="001F1964" w:rsidRPr="006C516E" w:rsidRDefault="001F1964" w:rsidP="003A3029">
      <w:pPr>
        <w:rPr>
          <w:rFonts w:ascii="Arial" w:eastAsia="Calibri" w:hAnsi="Arial" w:cs="Arial"/>
        </w:rPr>
      </w:pPr>
    </w:p>
    <w:p w14:paraId="1B929A45" w14:textId="77777777" w:rsidR="001F1964" w:rsidRPr="006C516E" w:rsidRDefault="001F1964" w:rsidP="003A3029">
      <w:pPr>
        <w:rPr>
          <w:rFonts w:ascii="Arial" w:hAnsi="Arial" w:cs="Arial"/>
        </w:rPr>
      </w:pPr>
      <w:r w:rsidRPr="006C516E">
        <w:rPr>
          <w:rFonts w:ascii="Arial" w:eastAsia="Calibri" w:hAnsi="Arial" w:cs="Arial"/>
        </w:rPr>
        <w:t>The overall aims of the RUCS were to:</w:t>
      </w:r>
    </w:p>
    <w:p w14:paraId="623505D5" w14:textId="77777777" w:rsidR="001F1964" w:rsidRPr="006C516E" w:rsidRDefault="001F1964" w:rsidP="003A3029">
      <w:pPr>
        <w:pStyle w:val="ListParagraph"/>
        <w:numPr>
          <w:ilvl w:val="0"/>
          <w:numId w:val="1"/>
        </w:numPr>
        <w:rPr>
          <w:rFonts w:ascii="Arial" w:hAnsi="Arial" w:cs="Arial"/>
        </w:rPr>
      </w:pPr>
      <w:r w:rsidRPr="006C516E">
        <w:rPr>
          <w:rFonts w:ascii="Arial" w:eastAsia="Calibri" w:hAnsi="Arial" w:cs="Arial"/>
        </w:rPr>
        <w:t>Identify those clinical and need characteristics of aged care residents that influence the cost of care (cost drivers);</w:t>
      </w:r>
    </w:p>
    <w:p w14:paraId="272DA222" w14:textId="77777777" w:rsidR="001F1964" w:rsidRPr="006C516E" w:rsidRDefault="001F1964" w:rsidP="003A3029">
      <w:pPr>
        <w:pStyle w:val="ListParagraph"/>
        <w:numPr>
          <w:ilvl w:val="0"/>
          <w:numId w:val="1"/>
        </w:numPr>
        <w:rPr>
          <w:rFonts w:ascii="Arial" w:hAnsi="Arial" w:cs="Arial"/>
        </w:rPr>
      </w:pPr>
      <w:r w:rsidRPr="006C516E">
        <w:rPr>
          <w:rFonts w:ascii="Arial" w:eastAsia="Calibri" w:hAnsi="Arial" w:cs="Arial"/>
        </w:rPr>
        <w:t>Identify the proportion of care costs that are shared across residents (shared costs) relative to those costs related to an individuals' needs (variable costs);</w:t>
      </w:r>
    </w:p>
    <w:p w14:paraId="1CB1BF75" w14:textId="77777777" w:rsidR="001F1964" w:rsidRPr="006C516E" w:rsidRDefault="001F1964" w:rsidP="003A3029">
      <w:pPr>
        <w:pStyle w:val="ListParagraph"/>
        <w:numPr>
          <w:ilvl w:val="0"/>
          <w:numId w:val="1"/>
        </w:numPr>
        <w:rPr>
          <w:rFonts w:ascii="Arial" w:hAnsi="Arial" w:cs="Arial"/>
        </w:rPr>
      </w:pPr>
      <w:r w:rsidRPr="006C516E">
        <w:rPr>
          <w:rFonts w:ascii="Arial" w:eastAsia="Calibri" w:hAnsi="Arial" w:cs="Arial"/>
        </w:rPr>
        <w:t>Develop a casemix classification based on identified costs drivers that can underpin a funding model that recognises both shared and variable costs; and</w:t>
      </w:r>
    </w:p>
    <w:p w14:paraId="6A0A9B75" w14:textId="77777777" w:rsidR="001F1964" w:rsidRPr="006C516E" w:rsidRDefault="001F1964" w:rsidP="003A3029">
      <w:pPr>
        <w:pStyle w:val="ListParagraph"/>
        <w:numPr>
          <w:ilvl w:val="0"/>
          <w:numId w:val="1"/>
        </w:numPr>
        <w:rPr>
          <w:rFonts w:ascii="Arial" w:hAnsi="Arial" w:cs="Arial"/>
        </w:rPr>
      </w:pPr>
      <w:r w:rsidRPr="006C516E">
        <w:rPr>
          <w:rFonts w:ascii="Arial" w:eastAsia="Calibri" w:hAnsi="Arial" w:cs="Arial"/>
        </w:rPr>
        <w:t>Undertake an initial test of the feasibility of implementing the recommended classification and funding model across the Australian residential aged care sector.</w:t>
      </w:r>
    </w:p>
    <w:p w14:paraId="33FABAEF" w14:textId="77777777" w:rsidR="001F1964" w:rsidRPr="006C516E" w:rsidRDefault="001F1964" w:rsidP="003A3029">
      <w:pPr>
        <w:rPr>
          <w:rFonts w:ascii="Arial" w:hAnsi="Arial" w:cs="Arial"/>
        </w:rPr>
      </w:pPr>
    </w:p>
    <w:p w14:paraId="34E23E16" w14:textId="77777777" w:rsidR="001F1964" w:rsidRPr="006C516E" w:rsidRDefault="001F1964" w:rsidP="003A3029">
      <w:pPr>
        <w:rPr>
          <w:rFonts w:ascii="Arial" w:hAnsi="Arial" w:cs="Arial"/>
        </w:rPr>
      </w:pPr>
      <w:r w:rsidRPr="006C516E">
        <w:rPr>
          <w:rFonts w:ascii="Arial" w:hAnsi="Arial" w:cs="Arial"/>
        </w:rPr>
        <w:t xml:space="preserve">The RUCS is comprised of four studies and seven reports. </w:t>
      </w:r>
    </w:p>
    <w:p w14:paraId="6674B4F8" w14:textId="77777777" w:rsidR="001F1964" w:rsidRPr="006C516E" w:rsidRDefault="001F1964" w:rsidP="003A3029">
      <w:pPr>
        <w:rPr>
          <w:rFonts w:ascii="Arial" w:hAnsi="Arial" w:cs="Arial"/>
        </w:rPr>
      </w:pPr>
    </w:p>
    <w:p w14:paraId="264F8C46" w14:textId="77777777" w:rsidR="001F1964" w:rsidRPr="006C516E" w:rsidRDefault="001F1964" w:rsidP="003A3029">
      <w:pPr>
        <w:rPr>
          <w:rFonts w:ascii="Arial" w:hAnsi="Arial" w:cs="Arial"/>
        </w:rPr>
      </w:pPr>
      <w:r w:rsidRPr="006C516E">
        <w:rPr>
          <w:rFonts w:ascii="Arial" w:hAnsi="Arial" w:cs="Arial"/>
        </w:rPr>
        <w:t>The four studies were:</w:t>
      </w:r>
    </w:p>
    <w:p w14:paraId="54C52EC6" w14:textId="77777777" w:rsidR="00607A5B" w:rsidRPr="006C516E" w:rsidRDefault="00607A5B" w:rsidP="003A3029">
      <w:pPr>
        <w:pStyle w:val="ListParagraph"/>
        <w:numPr>
          <w:ilvl w:val="0"/>
          <w:numId w:val="11"/>
        </w:numPr>
        <w:rPr>
          <w:rFonts w:ascii="Arial" w:hAnsi="Arial" w:cs="Arial"/>
        </w:rPr>
      </w:pPr>
      <w:r w:rsidRPr="006C516E">
        <w:rPr>
          <w:rFonts w:ascii="Arial" w:hAnsi="Arial" w:cs="Arial"/>
        </w:rPr>
        <w:t xml:space="preserve">Service </w:t>
      </w:r>
      <w:r w:rsidR="00BC2BD5" w:rsidRPr="006C516E">
        <w:rPr>
          <w:rFonts w:ascii="Arial" w:hAnsi="Arial" w:cs="Arial"/>
        </w:rPr>
        <w:t>u</w:t>
      </w:r>
      <w:r w:rsidRPr="006C516E">
        <w:rPr>
          <w:rFonts w:ascii="Arial" w:hAnsi="Arial" w:cs="Arial"/>
        </w:rPr>
        <w:t>tilisation and classification development study</w:t>
      </w:r>
    </w:p>
    <w:p w14:paraId="2BA03780" w14:textId="77777777" w:rsidR="00607A5B" w:rsidRPr="006C516E" w:rsidRDefault="00607A5B" w:rsidP="003A3029">
      <w:pPr>
        <w:pStyle w:val="ListParagraph"/>
        <w:numPr>
          <w:ilvl w:val="0"/>
          <w:numId w:val="11"/>
        </w:numPr>
        <w:rPr>
          <w:rFonts w:ascii="Arial" w:hAnsi="Arial" w:cs="Arial"/>
        </w:rPr>
      </w:pPr>
      <w:r w:rsidRPr="006C516E">
        <w:rPr>
          <w:rFonts w:ascii="Arial" w:hAnsi="Arial" w:cs="Arial"/>
        </w:rPr>
        <w:t>Fixed and variable cost analysis study</w:t>
      </w:r>
    </w:p>
    <w:p w14:paraId="3C7DED9C" w14:textId="77777777" w:rsidR="00607A5B" w:rsidRPr="006C516E" w:rsidRDefault="00607A5B" w:rsidP="003A3029">
      <w:pPr>
        <w:pStyle w:val="ListParagraph"/>
        <w:numPr>
          <w:ilvl w:val="0"/>
          <w:numId w:val="11"/>
        </w:numPr>
        <w:rPr>
          <w:rFonts w:ascii="Arial" w:hAnsi="Arial" w:cs="Arial"/>
        </w:rPr>
      </w:pPr>
      <w:r w:rsidRPr="006C516E">
        <w:rPr>
          <w:rFonts w:ascii="Arial" w:hAnsi="Arial" w:cs="Arial"/>
        </w:rPr>
        <w:t>Casemix profiling study</w:t>
      </w:r>
    </w:p>
    <w:p w14:paraId="461157C8" w14:textId="77777777" w:rsidR="00607A5B" w:rsidRPr="006C516E" w:rsidRDefault="00607A5B" w:rsidP="003A3029">
      <w:pPr>
        <w:pStyle w:val="ListParagraph"/>
        <w:numPr>
          <w:ilvl w:val="0"/>
          <w:numId w:val="11"/>
        </w:numPr>
        <w:rPr>
          <w:rFonts w:ascii="Arial" w:hAnsi="Arial" w:cs="Arial"/>
        </w:rPr>
      </w:pPr>
      <w:r w:rsidRPr="006C516E">
        <w:rPr>
          <w:rFonts w:ascii="Arial" w:hAnsi="Arial" w:cs="Arial"/>
        </w:rPr>
        <w:t>Reassessment study</w:t>
      </w:r>
    </w:p>
    <w:p w14:paraId="226172E4" w14:textId="77777777" w:rsidR="00607A5B" w:rsidRPr="006C516E" w:rsidRDefault="00607A5B" w:rsidP="003A3029">
      <w:pPr>
        <w:pStyle w:val="ListParagraph"/>
        <w:rPr>
          <w:rFonts w:ascii="Arial" w:hAnsi="Arial" w:cs="Arial"/>
        </w:rPr>
      </w:pPr>
    </w:p>
    <w:p w14:paraId="0F816980" w14:textId="77777777" w:rsidR="001F1964" w:rsidRPr="006C516E" w:rsidRDefault="001F1964" w:rsidP="003A3029">
      <w:pPr>
        <w:rPr>
          <w:rFonts w:ascii="Arial" w:hAnsi="Arial" w:cs="Arial"/>
        </w:rPr>
      </w:pPr>
      <w:r w:rsidRPr="006C516E">
        <w:rPr>
          <w:rFonts w:ascii="Arial" w:hAnsi="Arial" w:cs="Arial"/>
        </w:rPr>
        <w:t>The seven reports are:</w:t>
      </w:r>
    </w:p>
    <w:p w14:paraId="72B910B7" w14:textId="77777777" w:rsidR="001F1964" w:rsidRPr="006C516E" w:rsidRDefault="001F1964" w:rsidP="003A3029">
      <w:pPr>
        <w:pStyle w:val="ListParagraph"/>
        <w:numPr>
          <w:ilvl w:val="0"/>
          <w:numId w:val="10"/>
        </w:numPr>
        <w:rPr>
          <w:rFonts w:ascii="Arial" w:hAnsi="Arial" w:cs="Arial"/>
        </w:rPr>
      </w:pPr>
      <w:r w:rsidRPr="006C516E">
        <w:rPr>
          <w:rFonts w:ascii="Arial" w:hAnsi="Arial" w:cs="Arial"/>
        </w:rPr>
        <w:t>The Australian National Aged Care Classification (AN-ACC)</w:t>
      </w:r>
    </w:p>
    <w:p w14:paraId="40C325AE" w14:textId="77777777" w:rsidR="001F1964" w:rsidRPr="006C516E" w:rsidRDefault="001F1964" w:rsidP="003A3029">
      <w:pPr>
        <w:pStyle w:val="ListParagraph"/>
        <w:numPr>
          <w:ilvl w:val="0"/>
          <w:numId w:val="10"/>
        </w:numPr>
        <w:rPr>
          <w:rFonts w:ascii="Arial" w:hAnsi="Arial" w:cs="Arial"/>
        </w:rPr>
      </w:pPr>
      <w:r w:rsidRPr="006C516E">
        <w:rPr>
          <w:rFonts w:ascii="Arial" w:hAnsi="Arial" w:cs="Arial"/>
        </w:rPr>
        <w:t>The AN-ACC assessment model</w:t>
      </w:r>
    </w:p>
    <w:p w14:paraId="19895EF4" w14:textId="77777777" w:rsidR="001F1964" w:rsidRPr="006C516E" w:rsidRDefault="001F1964" w:rsidP="003A3029">
      <w:pPr>
        <w:pStyle w:val="ListParagraph"/>
        <w:numPr>
          <w:ilvl w:val="0"/>
          <w:numId w:val="10"/>
        </w:numPr>
        <w:rPr>
          <w:rFonts w:ascii="Arial" w:hAnsi="Arial" w:cs="Arial"/>
        </w:rPr>
      </w:pPr>
      <w:r w:rsidRPr="006C516E">
        <w:rPr>
          <w:rFonts w:ascii="Arial" w:hAnsi="Arial" w:cs="Arial"/>
        </w:rPr>
        <w:t>Structural and individual costs of residential aged care services</w:t>
      </w:r>
    </w:p>
    <w:p w14:paraId="460C68D8" w14:textId="77777777" w:rsidR="001F1964" w:rsidRPr="006C516E" w:rsidRDefault="001F1964" w:rsidP="003A3029">
      <w:pPr>
        <w:pStyle w:val="ListParagraph"/>
        <w:numPr>
          <w:ilvl w:val="0"/>
          <w:numId w:val="10"/>
        </w:numPr>
        <w:rPr>
          <w:rFonts w:ascii="Arial" w:hAnsi="Arial" w:cs="Arial"/>
        </w:rPr>
      </w:pPr>
      <w:r w:rsidRPr="006C516E">
        <w:rPr>
          <w:rFonts w:ascii="Arial" w:hAnsi="Arial" w:cs="Arial"/>
        </w:rPr>
        <w:t>Modelling the impact of the AN-ACC</w:t>
      </w:r>
    </w:p>
    <w:p w14:paraId="651EF4C4" w14:textId="77777777" w:rsidR="001F1964" w:rsidRPr="006C516E" w:rsidRDefault="001F1964" w:rsidP="003A3029">
      <w:pPr>
        <w:pStyle w:val="ListParagraph"/>
        <w:numPr>
          <w:ilvl w:val="0"/>
          <w:numId w:val="10"/>
        </w:numPr>
        <w:rPr>
          <w:rFonts w:ascii="Arial" w:hAnsi="Arial" w:cs="Arial"/>
        </w:rPr>
      </w:pPr>
      <w:r w:rsidRPr="006C516E">
        <w:rPr>
          <w:rFonts w:ascii="Arial" w:hAnsi="Arial" w:cs="Arial"/>
        </w:rPr>
        <w:t>AN-ACC:  A funding model for the residential aged care sector</w:t>
      </w:r>
    </w:p>
    <w:p w14:paraId="6FA0FC49" w14:textId="77777777" w:rsidR="001F1964" w:rsidRPr="006C516E" w:rsidRDefault="001F1964" w:rsidP="003A3029">
      <w:pPr>
        <w:pStyle w:val="ListParagraph"/>
        <w:numPr>
          <w:ilvl w:val="0"/>
          <w:numId w:val="10"/>
        </w:numPr>
        <w:rPr>
          <w:rFonts w:ascii="Arial" w:hAnsi="Arial" w:cs="Arial"/>
        </w:rPr>
      </w:pPr>
      <w:r w:rsidRPr="006C516E">
        <w:rPr>
          <w:rFonts w:ascii="Arial" w:hAnsi="Arial" w:cs="Arial"/>
        </w:rPr>
        <w:t>AN-ACC:  Synthesis and consolidated recommendations</w:t>
      </w:r>
    </w:p>
    <w:p w14:paraId="0DFB6ABE" w14:textId="77777777" w:rsidR="001F1964" w:rsidRPr="006C516E" w:rsidRDefault="001F1964" w:rsidP="003A3029">
      <w:pPr>
        <w:pStyle w:val="ListParagraph"/>
        <w:numPr>
          <w:ilvl w:val="0"/>
          <w:numId w:val="10"/>
        </w:numPr>
        <w:rPr>
          <w:rFonts w:ascii="Arial" w:hAnsi="Arial" w:cs="Arial"/>
        </w:rPr>
      </w:pPr>
      <w:r w:rsidRPr="006C516E">
        <w:rPr>
          <w:rFonts w:ascii="Arial" w:hAnsi="Arial" w:cs="Arial"/>
        </w:rPr>
        <w:t>AN-ACC:  Technical appendices</w:t>
      </w:r>
    </w:p>
    <w:p w14:paraId="013AB5FF" w14:textId="77777777" w:rsidR="001F1964" w:rsidRPr="006C516E" w:rsidRDefault="001F1964" w:rsidP="003A3029">
      <w:pPr>
        <w:rPr>
          <w:rFonts w:ascii="Arial" w:hAnsi="Arial" w:cs="Arial"/>
        </w:rPr>
      </w:pPr>
    </w:p>
    <w:p w14:paraId="4464A93D" w14:textId="77777777" w:rsidR="001F1964" w:rsidRPr="006C516E" w:rsidRDefault="00607A5B" w:rsidP="003A3029">
      <w:pPr>
        <w:rPr>
          <w:rFonts w:ascii="Arial" w:hAnsi="Arial" w:cs="Arial"/>
        </w:rPr>
      </w:pPr>
      <w:r w:rsidRPr="006C516E">
        <w:rPr>
          <w:rFonts w:ascii="Arial" w:hAnsi="Arial" w:cs="Arial"/>
        </w:rPr>
        <w:t xml:space="preserve">The </w:t>
      </w:r>
      <w:r w:rsidR="001F1964" w:rsidRPr="006C516E">
        <w:rPr>
          <w:rFonts w:ascii="Arial" w:hAnsi="Arial" w:cs="Arial"/>
        </w:rPr>
        <w:t>seven reports can be found</w:t>
      </w:r>
      <w:r w:rsidR="007809CE" w:rsidRPr="006C516E">
        <w:rPr>
          <w:rFonts w:ascii="Arial" w:hAnsi="Arial" w:cs="Arial"/>
        </w:rPr>
        <w:t xml:space="preserve"> on the Department’s website at </w:t>
      </w:r>
      <w:hyperlink r:id="rId12" w:history="1">
        <w:r w:rsidR="007809CE" w:rsidRPr="006C516E">
          <w:rPr>
            <w:rStyle w:val="Hyperlink"/>
            <w:rFonts w:ascii="Arial" w:hAnsi="Arial" w:cs="Arial"/>
          </w:rPr>
          <w:t>www.health.gov.au/reform/resource-utilisation-and-classification-study</w:t>
        </w:r>
      </w:hyperlink>
      <w:r w:rsidR="007809CE" w:rsidRPr="006C516E">
        <w:rPr>
          <w:rStyle w:val="Hyperlink"/>
          <w:rFonts w:ascii="Arial" w:hAnsi="Arial" w:cs="Arial"/>
          <w:color w:val="auto"/>
          <w:u w:val="none"/>
        </w:rPr>
        <w:t>.</w:t>
      </w:r>
    </w:p>
    <w:p w14:paraId="64BD6C70" w14:textId="77777777" w:rsidR="001F1964" w:rsidRPr="006C516E" w:rsidRDefault="001F1964" w:rsidP="003A3029">
      <w:pPr>
        <w:rPr>
          <w:rFonts w:ascii="Arial" w:hAnsi="Arial" w:cs="Arial"/>
        </w:rPr>
      </w:pPr>
    </w:p>
    <w:p w14:paraId="51F603D7" w14:textId="77777777" w:rsidR="00607A5B" w:rsidRPr="006C516E" w:rsidRDefault="00607A5B" w:rsidP="003A3029">
      <w:pPr>
        <w:rPr>
          <w:rFonts w:ascii="Arial" w:hAnsi="Arial" w:cs="Arial"/>
        </w:rPr>
      </w:pPr>
      <w:r w:rsidRPr="006C516E">
        <w:rPr>
          <w:rFonts w:ascii="Arial" w:hAnsi="Arial" w:cs="Arial"/>
        </w:rPr>
        <w:t xml:space="preserve">A summary of each of the studies is at </w:t>
      </w:r>
      <w:r w:rsidR="00BF4216" w:rsidRPr="006C516E">
        <w:rPr>
          <w:rFonts w:ascii="Arial" w:hAnsi="Arial" w:cs="Arial"/>
          <w:u w:val="single"/>
        </w:rPr>
        <w:t>Attachment B</w:t>
      </w:r>
    </w:p>
    <w:p w14:paraId="65FE324F" w14:textId="77777777" w:rsidR="00BF4216" w:rsidRPr="006C516E" w:rsidRDefault="00BF4216" w:rsidP="003A3029">
      <w:pPr>
        <w:rPr>
          <w:rFonts w:ascii="Arial" w:hAnsi="Arial" w:cs="Arial"/>
        </w:rPr>
      </w:pPr>
    </w:p>
    <w:p w14:paraId="63DCED6B" w14:textId="77777777" w:rsidR="00BF4216" w:rsidRPr="006C516E" w:rsidRDefault="00BF4216" w:rsidP="003A3029">
      <w:pPr>
        <w:rPr>
          <w:rFonts w:ascii="Arial" w:hAnsi="Arial" w:cs="Arial"/>
        </w:rPr>
      </w:pPr>
      <w:r w:rsidRPr="006C516E">
        <w:rPr>
          <w:rFonts w:ascii="Arial" w:hAnsi="Arial" w:cs="Arial"/>
        </w:rPr>
        <w:t xml:space="preserve">A summary of each of the </w:t>
      </w:r>
      <w:r w:rsidR="00603D02" w:rsidRPr="006C516E">
        <w:rPr>
          <w:rFonts w:ascii="Arial" w:hAnsi="Arial" w:cs="Arial"/>
        </w:rPr>
        <w:t>seven</w:t>
      </w:r>
      <w:r w:rsidRPr="006C516E">
        <w:rPr>
          <w:rFonts w:ascii="Arial" w:hAnsi="Arial" w:cs="Arial"/>
        </w:rPr>
        <w:t xml:space="preserve"> reports is at </w:t>
      </w:r>
      <w:r w:rsidRPr="006C516E">
        <w:rPr>
          <w:rFonts w:ascii="Arial" w:hAnsi="Arial" w:cs="Arial"/>
          <w:u w:val="single"/>
        </w:rPr>
        <w:t>Attachment C.</w:t>
      </w:r>
    </w:p>
    <w:p w14:paraId="2D8D1137" w14:textId="77777777" w:rsidR="001F1964" w:rsidRPr="006C516E" w:rsidRDefault="001F1964" w:rsidP="003A3029">
      <w:pPr>
        <w:rPr>
          <w:rFonts w:ascii="Arial" w:hAnsi="Arial" w:cs="Arial"/>
          <w:sz w:val="22"/>
          <w:szCs w:val="22"/>
        </w:rPr>
      </w:pPr>
    </w:p>
    <w:p w14:paraId="17DA41AD" w14:textId="77777777" w:rsidR="00D67711" w:rsidRPr="006C516E" w:rsidRDefault="008A30A2" w:rsidP="003A3029">
      <w:pPr>
        <w:pStyle w:val="Heading1"/>
      </w:pPr>
      <w:bookmarkStart w:id="10" w:name="_Toc3383716"/>
      <w:r w:rsidRPr="006C516E">
        <w:t xml:space="preserve">Section 5 – </w:t>
      </w:r>
      <w:r w:rsidR="00D67711" w:rsidRPr="006C516E">
        <w:t>Introduction</w:t>
      </w:r>
      <w:r w:rsidRPr="006C516E">
        <w:t xml:space="preserve"> </w:t>
      </w:r>
      <w:r w:rsidR="00D67711" w:rsidRPr="006C516E">
        <w:t>to the AN-ACC</w:t>
      </w:r>
      <w:bookmarkEnd w:id="10"/>
    </w:p>
    <w:p w14:paraId="2B164365" w14:textId="77777777" w:rsidR="00D67711" w:rsidRPr="006C516E" w:rsidRDefault="00D67711" w:rsidP="003A3029">
      <w:pPr>
        <w:pStyle w:val="ListParagraph"/>
        <w:rPr>
          <w:rFonts w:ascii="Arial" w:hAnsi="Arial" w:cs="Arial"/>
          <w:sz w:val="32"/>
        </w:rPr>
      </w:pPr>
    </w:p>
    <w:p w14:paraId="1024405A" w14:textId="77777777" w:rsidR="00D67711" w:rsidRPr="006C516E" w:rsidRDefault="00D67711" w:rsidP="003A3029">
      <w:pPr>
        <w:spacing w:after="120"/>
        <w:rPr>
          <w:rFonts w:ascii="Arial" w:hAnsi="Arial" w:cs="Arial"/>
        </w:rPr>
      </w:pPr>
      <w:r w:rsidRPr="006C516E">
        <w:rPr>
          <w:rFonts w:ascii="Arial" w:hAnsi="Arial" w:cs="Arial"/>
        </w:rPr>
        <w:t xml:space="preserve">The new assessment and funding model developed as part of the RUCS has been termed the Australian National Aged Care Classification (AN-ACC) system. The AN-ACC assessment and funding model is based on six key design elements: </w:t>
      </w:r>
    </w:p>
    <w:p w14:paraId="59C57B2F" w14:textId="77777777" w:rsidR="00D67711" w:rsidRPr="006C516E" w:rsidRDefault="00D67711" w:rsidP="003A3029">
      <w:pPr>
        <w:pStyle w:val="ListParagraph"/>
        <w:numPr>
          <w:ilvl w:val="0"/>
          <w:numId w:val="4"/>
        </w:numPr>
        <w:spacing w:after="120"/>
        <w:contextualSpacing w:val="0"/>
        <w:rPr>
          <w:rFonts w:ascii="Arial" w:hAnsi="Arial" w:cs="Arial"/>
        </w:rPr>
      </w:pPr>
      <w:r w:rsidRPr="006C516E">
        <w:rPr>
          <w:rFonts w:ascii="Arial" w:hAnsi="Arial" w:cs="Arial"/>
        </w:rPr>
        <w:t>Resident assessment for funding to be separate from resident assessment for care planning purposes;</w:t>
      </w:r>
    </w:p>
    <w:p w14:paraId="0813A6A6" w14:textId="77777777" w:rsidR="00D67711" w:rsidRPr="006C516E" w:rsidRDefault="00D67711" w:rsidP="003A3029">
      <w:pPr>
        <w:pStyle w:val="ListParagraph"/>
        <w:numPr>
          <w:ilvl w:val="0"/>
          <w:numId w:val="4"/>
        </w:numPr>
        <w:spacing w:after="120"/>
        <w:contextualSpacing w:val="0"/>
        <w:rPr>
          <w:rFonts w:ascii="Arial" w:hAnsi="Arial" w:cs="Arial"/>
        </w:rPr>
      </w:pPr>
      <w:r w:rsidRPr="006C516E">
        <w:rPr>
          <w:rFonts w:ascii="Arial" w:hAnsi="Arial" w:cs="Arial"/>
        </w:rPr>
        <w:t xml:space="preserve">Assessment for funding purposes to be undertaken by external assessors capturing the information necessary to assign a resident to a payment class; </w:t>
      </w:r>
    </w:p>
    <w:p w14:paraId="74ECE958" w14:textId="77777777" w:rsidR="00D67711" w:rsidRPr="006C516E" w:rsidRDefault="00D67711" w:rsidP="003A3029">
      <w:pPr>
        <w:pStyle w:val="ListParagraph"/>
        <w:numPr>
          <w:ilvl w:val="0"/>
          <w:numId w:val="4"/>
        </w:numPr>
        <w:spacing w:after="120"/>
        <w:contextualSpacing w:val="0"/>
        <w:rPr>
          <w:rFonts w:ascii="Arial" w:hAnsi="Arial" w:cs="Arial"/>
        </w:rPr>
      </w:pPr>
      <w:r w:rsidRPr="006C516E">
        <w:rPr>
          <w:rFonts w:ascii="Arial" w:hAnsi="Arial" w:cs="Arial"/>
        </w:rPr>
        <w:t xml:space="preserve">Assessment related to care planning to be undertaken by the residential aged care facility based on resident needs and underpinned by consumer directed care principles; </w:t>
      </w:r>
    </w:p>
    <w:p w14:paraId="3FC0DA44" w14:textId="77777777" w:rsidR="00D67711" w:rsidRPr="006C516E" w:rsidRDefault="00D67711" w:rsidP="003A3029">
      <w:pPr>
        <w:pStyle w:val="ListParagraph"/>
        <w:numPr>
          <w:ilvl w:val="0"/>
          <w:numId w:val="4"/>
        </w:numPr>
        <w:spacing w:after="120"/>
        <w:contextualSpacing w:val="0"/>
        <w:rPr>
          <w:rFonts w:ascii="Arial" w:hAnsi="Arial" w:cs="Arial"/>
        </w:rPr>
      </w:pPr>
      <w:r w:rsidRPr="006C516E">
        <w:rPr>
          <w:rFonts w:ascii="Arial" w:hAnsi="Arial" w:cs="Arial"/>
        </w:rPr>
        <w:t xml:space="preserve">Provision of a one off adjustment payment for each new resident that recognises additional, but time-limited, resource requirements when someone initially enters residential care; </w:t>
      </w:r>
    </w:p>
    <w:p w14:paraId="648241EF" w14:textId="77777777" w:rsidR="00D67711" w:rsidRPr="006C516E" w:rsidRDefault="00D67711" w:rsidP="003A3029">
      <w:pPr>
        <w:pStyle w:val="ListParagraph"/>
        <w:numPr>
          <w:ilvl w:val="0"/>
          <w:numId w:val="4"/>
        </w:numPr>
        <w:spacing w:after="120"/>
        <w:contextualSpacing w:val="0"/>
        <w:rPr>
          <w:rFonts w:ascii="Arial" w:hAnsi="Arial" w:cs="Arial"/>
        </w:rPr>
      </w:pPr>
      <w:r w:rsidRPr="006C516E">
        <w:rPr>
          <w:rFonts w:ascii="Arial" w:hAnsi="Arial" w:cs="Arial"/>
        </w:rPr>
        <w:t xml:space="preserve">A fixed price per day for the costs of care that are shared equally by all residents. This may vary by location and other factors; </w:t>
      </w:r>
    </w:p>
    <w:p w14:paraId="51231B9E" w14:textId="4772990F" w:rsidR="00D67711" w:rsidRPr="008C6901" w:rsidRDefault="00D67711" w:rsidP="003A3029">
      <w:pPr>
        <w:pStyle w:val="ListParagraph"/>
        <w:numPr>
          <w:ilvl w:val="0"/>
          <w:numId w:val="4"/>
        </w:numPr>
        <w:spacing w:after="120"/>
        <w:contextualSpacing w:val="0"/>
        <w:rPr>
          <w:rFonts w:ascii="Arial" w:hAnsi="Arial" w:cs="Arial"/>
        </w:rPr>
      </w:pPr>
      <w:r w:rsidRPr="006C516E">
        <w:rPr>
          <w:rFonts w:ascii="Arial" w:hAnsi="Arial" w:cs="Arial"/>
        </w:rPr>
        <w:t>A variable price per day for the costs of individualised care for each resident based</w:t>
      </w:r>
      <w:r w:rsidR="008C6901">
        <w:rPr>
          <w:rFonts w:ascii="Arial" w:hAnsi="Arial" w:cs="Arial"/>
        </w:rPr>
        <w:t xml:space="preserve"> on their AN-ACC casemix class.</w:t>
      </w:r>
    </w:p>
    <w:p w14:paraId="4AE750D8" w14:textId="77777777" w:rsidR="00D67711" w:rsidRPr="006C516E" w:rsidRDefault="00D67711" w:rsidP="003A3029">
      <w:pPr>
        <w:rPr>
          <w:rFonts w:ascii="Arial" w:hAnsi="Arial" w:cs="Arial"/>
          <w:sz w:val="32"/>
        </w:rPr>
      </w:pPr>
      <w:r w:rsidRPr="006C516E">
        <w:rPr>
          <w:rFonts w:ascii="Arial" w:hAnsi="Arial" w:cs="Arial"/>
          <w:sz w:val="32"/>
        </w:rPr>
        <w:br w:type="page"/>
      </w:r>
    </w:p>
    <w:p w14:paraId="27153D25" w14:textId="77777777" w:rsidR="00E657A9" w:rsidRPr="006C516E" w:rsidRDefault="008A30A2" w:rsidP="003A3029">
      <w:pPr>
        <w:pStyle w:val="Heading1"/>
      </w:pPr>
      <w:bookmarkStart w:id="11" w:name="_Toc3383717"/>
      <w:r w:rsidRPr="006C516E">
        <w:lastRenderedPageBreak/>
        <w:t xml:space="preserve">Section 6 – </w:t>
      </w:r>
      <w:r w:rsidR="00D67711" w:rsidRPr="006C516E">
        <w:t>T</w:t>
      </w:r>
      <w:r w:rsidR="00E657A9" w:rsidRPr="006C516E">
        <w:t>he</w:t>
      </w:r>
      <w:r w:rsidRPr="006C516E">
        <w:t xml:space="preserve"> </w:t>
      </w:r>
      <w:r w:rsidR="00E657A9" w:rsidRPr="006C516E">
        <w:t>three components of funding under the proposed model</w:t>
      </w:r>
      <w:bookmarkEnd w:id="11"/>
      <w:r w:rsidR="00E657A9" w:rsidRPr="006C516E">
        <w:t xml:space="preserve"> </w:t>
      </w:r>
    </w:p>
    <w:p w14:paraId="74D783A3" w14:textId="77777777" w:rsidR="008A30A2" w:rsidRPr="006C516E" w:rsidRDefault="008A30A2" w:rsidP="003A3029">
      <w:pPr>
        <w:rPr>
          <w:rFonts w:ascii="Arial" w:hAnsi="Arial" w:cs="Arial"/>
          <w:sz w:val="28"/>
        </w:rPr>
      </w:pPr>
    </w:p>
    <w:p w14:paraId="0AE20432" w14:textId="77777777" w:rsidR="008A30A2" w:rsidRPr="006C516E" w:rsidRDefault="008A30A2" w:rsidP="003A3029">
      <w:pPr>
        <w:rPr>
          <w:rFonts w:ascii="Arial" w:hAnsi="Arial" w:cs="Arial"/>
        </w:rPr>
      </w:pPr>
      <w:r w:rsidRPr="006C516E">
        <w:rPr>
          <w:rFonts w:ascii="Arial" w:hAnsi="Arial" w:cs="Arial"/>
        </w:rPr>
        <w:t>There are three components to AHSRI’s proposed funding model:</w:t>
      </w:r>
    </w:p>
    <w:p w14:paraId="1BC7AEEF" w14:textId="77777777" w:rsidR="00E657A9" w:rsidRPr="006C516E" w:rsidRDefault="00E657A9" w:rsidP="003A3029">
      <w:pPr>
        <w:pStyle w:val="ListParagraph"/>
        <w:numPr>
          <w:ilvl w:val="1"/>
          <w:numId w:val="4"/>
        </w:numPr>
        <w:ind w:left="851"/>
        <w:rPr>
          <w:rFonts w:ascii="Arial" w:hAnsi="Arial" w:cs="Arial"/>
        </w:rPr>
      </w:pPr>
      <w:r w:rsidRPr="006C516E">
        <w:rPr>
          <w:rFonts w:ascii="Arial" w:hAnsi="Arial" w:cs="Arial"/>
        </w:rPr>
        <w:t xml:space="preserve">a fixed payment for shared costs, </w:t>
      </w:r>
    </w:p>
    <w:p w14:paraId="568EC636" w14:textId="77777777" w:rsidR="00E657A9" w:rsidRPr="006C516E" w:rsidRDefault="00E657A9" w:rsidP="003A3029">
      <w:pPr>
        <w:pStyle w:val="ListParagraph"/>
        <w:numPr>
          <w:ilvl w:val="1"/>
          <w:numId w:val="4"/>
        </w:numPr>
        <w:ind w:left="851"/>
        <w:rPr>
          <w:rFonts w:ascii="Arial" w:hAnsi="Arial" w:cs="Arial"/>
        </w:rPr>
      </w:pPr>
      <w:r w:rsidRPr="006C516E">
        <w:rPr>
          <w:rFonts w:ascii="Arial" w:hAnsi="Arial" w:cs="Arial"/>
        </w:rPr>
        <w:t xml:space="preserve">a variable payment for individual resident costs; and </w:t>
      </w:r>
    </w:p>
    <w:p w14:paraId="3E56F915" w14:textId="77777777" w:rsidR="00E657A9" w:rsidRPr="006C516E" w:rsidRDefault="00E657A9" w:rsidP="003A3029">
      <w:pPr>
        <w:pStyle w:val="ListParagraph"/>
        <w:numPr>
          <w:ilvl w:val="1"/>
          <w:numId w:val="4"/>
        </w:numPr>
        <w:ind w:left="851"/>
        <w:rPr>
          <w:rFonts w:ascii="Arial" w:hAnsi="Arial" w:cs="Arial"/>
        </w:rPr>
      </w:pPr>
      <w:r w:rsidRPr="006C516E">
        <w:rPr>
          <w:rFonts w:ascii="Arial" w:hAnsi="Arial" w:cs="Arial"/>
        </w:rPr>
        <w:t>an adjustment payment for entry costs.</w:t>
      </w:r>
    </w:p>
    <w:p w14:paraId="299E70F3" w14:textId="77777777" w:rsidR="001F1964" w:rsidRPr="006C516E" w:rsidRDefault="001F1964" w:rsidP="003A3029">
      <w:pPr>
        <w:pStyle w:val="ListParagraph"/>
        <w:rPr>
          <w:rFonts w:ascii="Arial" w:hAnsi="Arial" w:cs="Arial"/>
          <w:sz w:val="22"/>
          <w:szCs w:val="22"/>
        </w:rPr>
      </w:pPr>
    </w:p>
    <w:p w14:paraId="3E5FD758" w14:textId="77777777" w:rsidR="00586FC6" w:rsidRPr="006C516E" w:rsidRDefault="00586FC6" w:rsidP="003A3029">
      <w:pPr>
        <w:pStyle w:val="Bullets"/>
        <w:numPr>
          <w:ilvl w:val="0"/>
          <w:numId w:val="0"/>
        </w:numPr>
        <w:rPr>
          <w:rFonts w:ascii="Arial" w:hAnsi="Arial" w:cs="Arial"/>
        </w:rPr>
      </w:pPr>
      <w:r w:rsidRPr="006C516E">
        <w:rPr>
          <w:rFonts w:ascii="Arial" w:hAnsi="Arial" w:cs="Arial"/>
        </w:rPr>
        <w:t>Under the AN-ACC the subsidy paid to the provider would consist of a fixed component and a variable component for each resident. Providers would also be paid an adjustment payment on a time-limited basis when a new resident enters the facility.</w:t>
      </w:r>
    </w:p>
    <w:p w14:paraId="7DD5263A" w14:textId="77777777" w:rsidR="008A22F8" w:rsidRPr="006C516E" w:rsidRDefault="008A22F8" w:rsidP="003A3029">
      <w:pPr>
        <w:pStyle w:val="Default"/>
        <w:rPr>
          <w:rFonts w:ascii="Arial" w:hAnsi="Arial" w:cs="Arial"/>
          <w:szCs w:val="23"/>
        </w:rPr>
      </w:pPr>
      <w:r w:rsidRPr="006C516E">
        <w:rPr>
          <w:rFonts w:ascii="Arial" w:hAnsi="Arial" w:cs="Arial"/>
          <w:szCs w:val="23"/>
        </w:rPr>
        <w:t xml:space="preserve">The staff time data collected in the RUCS indicated that close to 50% of staff time was spent delivering care tailored to the specific needs of the resident, while the remaining 50% was spent delivering shared care across all residents. This supports a payment model that includes a fixed per diem price for the costs of shared care and a variable price per day for the costs of individual resident care. </w:t>
      </w:r>
    </w:p>
    <w:p w14:paraId="75288869" w14:textId="77777777" w:rsidR="00780DC4" w:rsidRPr="006C516E" w:rsidRDefault="00780DC4" w:rsidP="003A3029">
      <w:pPr>
        <w:pStyle w:val="Default"/>
        <w:rPr>
          <w:rFonts w:ascii="Arial" w:hAnsi="Arial" w:cs="Arial"/>
          <w:szCs w:val="23"/>
        </w:rPr>
      </w:pPr>
    </w:p>
    <w:p w14:paraId="2F062266" w14:textId="58A5F8CF" w:rsidR="00586FC6" w:rsidRPr="006C516E" w:rsidRDefault="00586FC6" w:rsidP="003A3029">
      <w:pPr>
        <w:pStyle w:val="Normal-nospacing"/>
        <w:rPr>
          <w:rFonts w:ascii="Arial" w:hAnsi="Arial" w:cs="Arial"/>
          <w:b/>
        </w:rPr>
      </w:pPr>
      <w:r w:rsidRPr="006C516E">
        <w:rPr>
          <w:rFonts w:ascii="Arial" w:hAnsi="Arial" w:cs="Arial"/>
          <w:b/>
          <w:sz w:val="28"/>
        </w:rPr>
        <w:t>Fixed Component</w:t>
      </w:r>
      <w:r w:rsidRPr="006C516E">
        <w:rPr>
          <w:rFonts w:ascii="Arial" w:hAnsi="Arial" w:cs="Arial"/>
          <w:b/>
          <w:i/>
          <w:sz w:val="28"/>
        </w:rPr>
        <w:t xml:space="preserve"> </w:t>
      </w:r>
      <w:r w:rsidR="008A22F8" w:rsidRPr="006C516E">
        <w:rPr>
          <w:rFonts w:ascii="Arial" w:hAnsi="Arial" w:cs="Arial"/>
          <w:b/>
          <w:i/>
        </w:rPr>
        <w:br/>
      </w:r>
      <w:r w:rsidR="008A22F8" w:rsidRPr="006C516E">
        <w:rPr>
          <w:rFonts w:ascii="Arial" w:hAnsi="Arial" w:cs="Arial"/>
        </w:rPr>
        <w:br/>
      </w:r>
      <w:r w:rsidRPr="006C516E">
        <w:rPr>
          <w:rFonts w:ascii="Arial" w:hAnsi="Arial" w:cs="Arial"/>
        </w:rPr>
        <w:t>The fixed component reflects the costs of shared care for residents and includes costs of care that all residents generally benefit from equally. The fixed cost is the same for all resid</w:t>
      </w:r>
      <w:r w:rsidR="008C6901">
        <w:rPr>
          <w:rFonts w:ascii="Arial" w:hAnsi="Arial" w:cs="Arial"/>
        </w:rPr>
        <w:t>ents in a particular facility.</w:t>
      </w:r>
    </w:p>
    <w:p w14:paraId="19627F72" w14:textId="77777777" w:rsidR="00586FC6" w:rsidRPr="006C516E" w:rsidRDefault="00586FC6" w:rsidP="003A3029">
      <w:pPr>
        <w:spacing w:after="120"/>
        <w:rPr>
          <w:rFonts w:ascii="Arial" w:hAnsi="Arial" w:cs="Arial"/>
        </w:rPr>
      </w:pPr>
      <w:r w:rsidRPr="006C516E">
        <w:rPr>
          <w:rFonts w:ascii="Arial" w:hAnsi="Arial" w:cs="Arial"/>
        </w:rPr>
        <w:t>Separating the funding in this way has two benefits:</w:t>
      </w:r>
    </w:p>
    <w:p w14:paraId="72BFEA77" w14:textId="77777777" w:rsidR="00586FC6" w:rsidRPr="006C516E" w:rsidRDefault="00586FC6" w:rsidP="003A3029">
      <w:pPr>
        <w:pStyle w:val="ListParagraph"/>
        <w:numPr>
          <w:ilvl w:val="0"/>
          <w:numId w:val="5"/>
        </w:numPr>
        <w:spacing w:after="120"/>
        <w:contextualSpacing w:val="0"/>
        <w:rPr>
          <w:rFonts w:ascii="Arial" w:hAnsi="Arial" w:cs="Arial"/>
        </w:rPr>
      </w:pPr>
      <w:r w:rsidRPr="006C516E">
        <w:rPr>
          <w:rFonts w:ascii="Arial" w:hAnsi="Arial" w:cs="Arial"/>
        </w:rPr>
        <w:t xml:space="preserve">Fixed care recognises that a large proportion of care costs within a facility are driven not by the individual care needs of the residents but by the care delivered equally to all residents. </w:t>
      </w:r>
    </w:p>
    <w:p w14:paraId="4792BDF5" w14:textId="77777777" w:rsidR="00586FC6" w:rsidRPr="006C516E" w:rsidRDefault="00586FC6" w:rsidP="003A3029">
      <w:pPr>
        <w:pStyle w:val="ListParagraph"/>
        <w:numPr>
          <w:ilvl w:val="0"/>
          <w:numId w:val="5"/>
        </w:numPr>
        <w:spacing w:after="120"/>
        <w:contextualSpacing w:val="0"/>
        <w:rPr>
          <w:rFonts w:ascii="Arial" w:hAnsi="Arial" w:cs="Arial"/>
        </w:rPr>
      </w:pPr>
      <w:r w:rsidRPr="006C516E">
        <w:rPr>
          <w:rFonts w:ascii="Arial" w:hAnsi="Arial" w:cs="Arial"/>
        </w:rPr>
        <w:t xml:space="preserve">Fixed care provides stability to the funding model as a large portion of the facility’s funding is fixed regardless of changes in individual resident care needs. </w:t>
      </w:r>
    </w:p>
    <w:p w14:paraId="638E3B0A" w14:textId="77777777" w:rsidR="00586FC6" w:rsidRPr="006C516E" w:rsidRDefault="00586FC6" w:rsidP="003A3029">
      <w:pPr>
        <w:rPr>
          <w:rFonts w:ascii="Arial" w:hAnsi="Arial" w:cs="Arial"/>
        </w:rPr>
      </w:pPr>
    </w:p>
    <w:p w14:paraId="627BE312" w14:textId="77777777" w:rsidR="00586FC6" w:rsidRPr="006C516E" w:rsidRDefault="00586FC6" w:rsidP="003A3029">
      <w:pPr>
        <w:rPr>
          <w:rFonts w:ascii="Arial" w:hAnsi="Arial" w:cs="Arial"/>
        </w:rPr>
      </w:pPr>
      <w:r w:rsidRPr="006C516E">
        <w:rPr>
          <w:rFonts w:ascii="Arial" w:hAnsi="Arial" w:cs="Arial"/>
        </w:rPr>
        <w:t xml:space="preserve">Examples of fixed care include general supervision in common areas and night supervision. These costs are considered ‘fixed’ as they are not affected significantly by changes in individual resident care need. </w:t>
      </w:r>
    </w:p>
    <w:p w14:paraId="45C30DB8" w14:textId="77777777" w:rsidR="00586FC6" w:rsidRPr="006C516E" w:rsidRDefault="00586FC6" w:rsidP="003A3029">
      <w:pPr>
        <w:rPr>
          <w:rFonts w:ascii="Arial" w:hAnsi="Arial" w:cs="Arial"/>
        </w:rPr>
      </w:pPr>
    </w:p>
    <w:p w14:paraId="66F22010" w14:textId="77777777" w:rsidR="00586FC6" w:rsidRPr="006C516E" w:rsidRDefault="00586FC6" w:rsidP="003A3029">
      <w:pPr>
        <w:rPr>
          <w:rFonts w:ascii="Arial" w:hAnsi="Arial" w:cs="Arial"/>
        </w:rPr>
      </w:pPr>
      <w:r w:rsidRPr="006C516E">
        <w:rPr>
          <w:rFonts w:ascii="Arial" w:hAnsi="Arial" w:cs="Arial"/>
        </w:rPr>
        <w:t xml:space="preserve">Aged care homes will receive a per diem base care tariff (for fixed care) for all resident care days within the funding period.  This fixed care tariff will vary between certain classes of facilities.  For example, it will be higher in very remote facilities and for services catering for the homeless in recognition of their higher fixed costs.  Base care tariffs are mutually exclusive and each facility can only qualify for payment under a single tariff (Table 1). </w:t>
      </w:r>
    </w:p>
    <w:p w14:paraId="71C4E5F1" w14:textId="77777777" w:rsidR="00586FC6" w:rsidRPr="006C516E" w:rsidRDefault="00586FC6" w:rsidP="003A3029">
      <w:pPr>
        <w:rPr>
          <w:rFonts w:ascii="Arial" w:hAnsi="Arial" w:cs="Arial"/>
        </w:rPr>
      </w:pPr>
    </w:p>
    <w:p w14:paraId="29B6507A" w14:textId="77777777" w:rsidR="00586FC6" w:rsidRPr="006C516E" w:rsidRDefault="00586FC6" w:rsidP="003A3029">
      <w:pPr>
        <w:rPr>
          <w:rFonts w:ascii="Arial" w:hAnsi="Arial" w:cs="Arial"/>
        </w:rPr>
      </w:pPr>
      <w:r w:rsidRPr="006C516E">
        <w:rPr>
          <w:rFonts w:ascii="Arial" w:hAnsi="Arial" w:cs="Arial"/>
        </w:rPr>
        <w:t>The factors that were found by the RUCS to be associated with an increase in fixed care costs per day were:</w:t>
      </w:r>
    </w:p>
    <w:p w14:paraId="523A30F6" w14:textId="77777777" w:rsidR="00586FC6" w:rsidRPr="006C516E" w:rsidRDefault="00586FC6" w:rsidP="003A3029">
      <w:pPr>
        <w:pStyle w:val="ListParagraph"/>
        <w:numPr>
          <w:ilvl w:val="0"/>
          <w:numId w:val="6"/>
        </w:numPr>
        <w:rPr>
          <w:rFonts w:ascii="Arial" w:hAnsi="Arial" w:cs="Arial"/>
        </w:rPr>
      </w:pPr>
      <w:r w:rsidRPr="006C516E">
        <w:rPr>
          <w:rFonts w:ascii="Arial" w:hAnsi="Arial" w:cs="Arial"/>
        </w:rPr>
        <w:t>remote and very remote facilities that provide Indigenous care services;</w:t>
      </w:r>
    </w:p>
    <w:p w14:paraId="1D7522A3" w14:textId="77777777" w:rsidR="00586FC6" w:rsidRPr="006C516E" w:rsidRDefault="00586FC6" w:rsidP="003A3029">
      <w:pPr>
        <w:pStyle w:val="ListParagraph"/>
        <w:numPr>
          <w:ilvl w:val="0"/>
          <w:numId w:val="6"/>
        </w:numPr>
        <w:rPr>
          <w:rFonts w:ascii="Arial" w:hAnsi="Arial" w:cs="Arial"/>
        </w:rPr>
      </w:pPr>
      <w:r w:rsidRPr="006C516E">
        <w:rPr>
          <w:rFonts w:ascii="Arial" w:hAnsi="Arial" w:cs="Arial"/>
        </w:rPr>
        <w:t>non-Indigenous remote services that have less than 30 beds;</w:t>
      </w:r>
    </w:p>
    <w:p w14:paraId="31BE95D1" w14:textId="77777777" w:rsidR="00586FC6" w:rsidRPr="006C516E" w:rsidRDefault="00586FC6" w:rsidP="003A3029">
      <w:pPr>
        <w:pStyle w:val="ListParagraph"/>
        <w:numPr>
          <w:ilvl w:val="0"/>
          <w:numId w:val="6"/>
        </w:numPr>
        <w:rPr>
          <w:rFonts w:ascii="Arial" w:hAnsi="Arial" w:cs="Arial"/>
        </w:rPr>
      </w:pPr>
      <w:r w:rsidRPr="006C516E">
        <w:rPr>
          <w:rFonts w:ascii="Arial" w:hAnsi="Arial" w:cs="Arial"/>
        </w:rPr>
        <w:lastRenderedPageBreak/>
        <w:t>non-Indigenous remote services that have less than 30 beds; and</w:t>
      </w:r>
    </w:p>
    <w:p w14:paraId="77863B27" w14:textId="77777777" w:rsidR="00586FC6" w:rsidRPr="006C516E" w:rsidRDefault="00586FC6" w:rsidP="003A3029">
      <w:pPr>
        <w:pStyle w:val="ListParagraph"/>
        <w:numPr>
          <w:ilvl w:val="0"/>
          <w:numId w:val="6"/>
        </w:numPr>
        <w:rPr>
          <w:rFonts w:ascii="Arial" w:hAnsi="Arial" w:cs="Arial"/>
        </w:rPr>
      </w:pPr>
      <w:r w:rsidRPr="006C516E">
        <w:rPr>
          <w:rFonts w:ascii="Arial" w:hAnsi="Arial" w:cs="Arial"/>
        </w:rPr>
        <w:t>specialised services to homeless people.</w:t>
      </w:r>
    </w:p>
    <w:p w14:paraId="73984B44" w14:textId="77777777" w:rsidR="00603D02" w:rsidRPr="006C516E" w:rsidRDefault="00603D02" w:rsidP="003A3029">
      <w:pPr>
        <w:rPr>
          <w:rFonts w:ascii="Arial" w:hAnsi="Arial" w:cs="Arial"/>
        </w:rPr>
      </w:pPr>
    </w:p>
    <w:p w14:paraId="348C5289" w14:textId="487D4739" w:rsidR="00586FC6" w:rsidRPr="006C516E" w:rsidRDefault="00586FC6" w:rsidP="003A3029">
      <w:pPr>
        <w:rPr>
          <w:rFonts w:ascii="Arial" w:hAnsi="Arial" w:cs="Arial"/>
        </w:rPr>
      </w:pPr>
      <w:r w:rsidRPr="006C516E">
        <w:rPr>
          <w:rFonts w:ascii="Arial" w:hAnsi="Arial" w:cs="Arial"/>
        </w:rPr>
        <w:t>Remoteness here is defined using the Modified Monash Model (MMM), with MMM 6-7 defined as remote and very remote.</w:t>
      </w:r>
    </w:p>
    <w:p w14:paraId="06471BBA" w14:textId="77777777" w:rsidR="00586FC6" w:rsidRPr="006C516E" w:rsidRDefault="00586FC6" w:rsidP="003A3029">
      <w:pPr>
        <w:rPr>
          <w:rFonts w:ascii="Arial" w:hAnsi="Arial" w:cs="Arial"/>
        </w:rPr>
      </w:pPr>
    </w:p>
    <w:p w14:paraId="70FF6CC2" w14:textId="77777777" w:rsidR="008A22F8" w:rsidRPr="006C516E" w:rsidRDefault="008A22F8" w:rsidP="003A3029">
      <w:pPr>
        <w:rPr>
          <w:rFonts w:ascii="Arial" w:hAnsi="Arial" w:cs="Arial"/>
          <w:b/>
          <w:sz w:val="28"/>
        </w:rPr>
      </w:pPr>
      <w:r w:rsidRPr="006C516E">
        <w:rPr>
          <w:rFonts w:ascii="Arial" w:hAnsi="Arial" w:cs="Arial"/>
          <w:b/>
          <w:sz w:val="28"/>
        </w:rPr>
        <w:t>Variable component</w:t>
      </w:r>
    </w:p>
    <w:p w14:paraId="11FC458A" w14:textId="77777777" w:rsidR="008A22F8" w:rsidRPr="006C516E" w:rsidRDefault="008A22F8" w:rsidP="003A3029">
      <w:pPr>
        <w:rPr>
          <w:rFonts w:ascii="Arial" w:hAnsi="Arial" w:cs="Arial"/>
        </w:rPr>
      </w:pPr>
      <w:r w:rsidRPr="006C516E">
        <w:rPr>
          <w:rFonts w:ascii="Arial" w:hAnsi="Arial" w:cs="Arial"/>
        </w:rPr>
        <w:br/>
        <w:t>The variable</w:t>
      </w:r>
      <w:r w:rsidRPr="006C516E">
        <w:rPr>
          <w:rFonts w:ascii="Arial" w:hAnsi="Arial" w:cs="Arial"/>
          <w:b/>
        </w:rPr>
        <w:t xml:space="preserve"> </w:t>
      </w:r>
      <w:r w:rsidRPr="006C516E">
        <w:rPr>
          <w:rFonts w:ascii="Arial" w:hAnsi="Arial" w:cs="Arial"/>
        </w:rPr>
        <w:t xml:space="preserve">component is the casemix classification portion of the subsidy. Each resident is allocated a class based on their characteristics. This component will be different for different residents in a facility (Figure 1). The classification system is a branching model which enables the factors that drive care cost to be addressed interactively rather than operate in isolation. For example, two residents have cognitive impairment but one is mobile and the other is not. In the current ACFI system, cognition and mobility are each considered separately. In the AN-ACC, they are considered in combination. </w:t>
      </w:r>
    </w:p>
    <w:p w14:paraId="16048ABD" w14:textId="77777777" w:rsidR="008A22F8" w:rsidRPr="006C516E" w:rsidRDefault="008A22F8" w:rsidP="003A3029">
      <w:pPr>
        <w:rPr>
          <w:rFonts w:ascii="Arial" w:hAnsi="Arial" w:cs="Arial"/>
        </w:rPr>
      </w:pPr>
    </w:p>
    <w:p w14:paraId="474B32B3" w14:textId="77777777" w:rsidR="008A22F8" w:rsidRPr="006C516E" w:rsidRDefault="008A22F8" w:rsidP="003A3029">
      <w:pPr>
        <w:rPr>
          <w:rFonts w:ascii="Arial" w:hAnsi="Arial" w:cs="Arial"/>
        </w:rPr>
      </w:pPr>
      <w:r w:rsidRPr="006C516E">
        <w:rPr>
          <w:rFonts w:ascii="Arial" w:hAnsi="Arial" w:cs="Arial"/>
        </w:rPr>
        <w:t xml:space="preserve">The factors found to drive individual care were associated with end of life needs, frailty, functional decline, cognition, behaviour and technical nursing needs.  The most costly residents (on a daily basis) are those who either enter the facility specifically for palliative care or are </w:t>
      </w:r>
      <w:r w:rsidR="00D156DB" w:rsidRPr="006C516E">
        <w:rPr>
          <w:rFonts w:ascii="Arial" w:hAnsi="Arial" w:cs="Arial"/>
        </w:rPr>
        <w:t xml:space="preserve">in a class that are </w:t>
      </w:r>
      <w:r w:rsidRPr="006C516E">
        <w:rPr>
          <w:rFonts w:ascii="Arial" w:hAnsi="Arial" w:cs="Arial"/>
        </w:rPr>
        <w:t>not mobile, have lower levels of function, higher risk of pressure sores and other compounding factors such as behavioural issues. The least costly residents are those who are independently mobile without compounding factors.</w:t>
      </w:r>
      <w:r w:rsidR="00D156DB" w:rsidRPr="006C516E">
        <w:rPr>
          <w:rFonts w:ascii="Arial" w:hAnsi="Arial" w:cs="Arial"/>
        </w:rPr>
        <w:t xml:space="preserve">  This is discussed further in Section 7.</w:t>
      </w:r>
      <w:r w:rsidRPr="006C516E">
        <w:rPr>
          <w:rFonts w:ascii="Arial" w:hAnsi="Arial" w:cs="Arial"/>
        </w:rPr>
        <w:t xml:space="preserve"> </w:t>
      </w:r>
    </w:p>
    <w:p w14:paraId="2AE4E627" w14:textId="77777777" w:rsidR="008A22F8" w:rsidRPr="006C516E" w:rsidRDefault="008A22F8" w:rsidP="003A3029">
      <w:pPr>
        <w:pStyle w:val="Caption"/>
        <w:keepNext/>
        <w:rPr>
          <w:rFonts w:ascii="Arial" w:hAnsi="Arial" w:cs="Arial"/>
        </w:rPr>
      </w:pPr>
    </w:p>
    <w:p w14:paraId="2A5E39F0" w14:textId="77777777" w:rsidR="00586FC6" w:rsidRPr="006C516E" w:rsidRDefault="00586FC6" w:rsidP="003A3029">
      <w:pPr>
        <w:pStyle w:val="Caption"/>
        <w:keepNext/>
        <w:rPr>
          <w:rFonts w:ascii="Arial" w:hAnsi="Arial" w:cs="Arial"/>
          <w:color w:val="auto"/>
        </w:rPr>
      </w:pPr>
      <w:r w:rsidRPr="006C516E">
        <w:rPr>
          <w:rFonts w:ascii="Arial" w:hAnsi="Arial" w:cs="Arial"/>
          <w:color w:val="auto"/>
        </w:rPr>
        <w:t>Figure 1: An illustration of a fixed and variable payment mode for four residents in the same facility. All residents attract the same fixed payment. Resident 1 and resident 3 are allocated to the same class and therefore attract the same variable payment, while the payment for resident 2 is higher reflecting increased care costs for that individual.</w:t>
      </w:r>
    </w:p>
    <w:p w14:paraId="7BE188DF" w14:textId="77777777" w:rsidR="00586FC6" w:rsidRPr="006C516E" w:rsidRDefault="00586FC6" w:rsidP="003A3029">
      <w:pPr>
        <w:rPr>
          <w:rFonts w:ascii="Arial" w:hAnsi="Arial" w:cs="Arial"/>
        </w:rPr>
      </w:pPr>
      <w:r w:rsidRPr="006C516E">
        <w:rPr>
          <w:rFonts w:ascii="Arial" w:hAnsi="Arial" w:cs="Arial"/>
          <w:noProof/>
          <w:lang w:eastAsia="en-AU"/>
        </w:rPr>
        <w:drawing>
          <wp:inline distT="0" distB="0" distL="0" distR="0" wp14:anchorId="7C995E2C" wp14:editId="22BEAAB5">
            <wp:extent cx="4838700" cy="2143125"/>
            <wp:effectExtent l="0" t="0" r="0" b="9525"/>
            <wp:docPr id="23" name="Picture 23" descr="Figure 1 is a pictorial representation of a fixed and variable payment model.  The description of the model is included in the text below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845834" cy="2146285"/>
                    </a:xfrm>
                    <a:prstGeom prst="rect">
                      <a:avLst/>
                    </a:prstGeom>
                    <a:noFill/>
                    <a:ln>
                      <a:noFill/>
                    </a:ln>
                    <a:extLst>
                      <a:ext uri="{53640926-AAD7-44D8-BBD7-CCE9431645EC}">
                        <a14:shadowObscured xmlns:a14="http://schemas.microsoft.com/office/drawing/2010/main"/>
                      </a:ext>
                    </a:extLst>
                  </pic:spPr>
                </pic:pic>
              </a:graphicData>
            </a:graphic>
          </wp:inline>
        </w:drawing>
      </w:r>
    </w:p>
    <w:p w14:paraId="164CC74E" w14:textId="77777777" w:rsidR="008A22F8" w:rsidRPr="006C516E" w:rsidRDefault="008A22F8" w:rsidP="003A3029">
      <w:pPr>
        <w:pStyle w:val="Heading4"/>
        <w:rPr>
          <w:rFonts w:cs="Arial"/>
        </w:rPr>
      </w:pPr>
    </w:p>
    <w:p w14:paraId="1A86AB38" w14:textId="77777777" w:rsidR="008A22F8" w:rsidRPr="006C516E" w:rsidRDefault="008A22F8" w:rsidP="003A3029">
      <w:pPr>
        <w:rPr>
          <w:rFonts w:ascii="Arial" w:hAnsi="Arial" w:cs="Arial"/>
          <w:b/>
          <w:bCs/>
          <w:i/>
          <w:szCs w:val="28"/>
        </w:rPr>
      </w:pPr>
      <w:r w:rsidRPr="006C516E">
        <w:rPr>
          <w:rFonts w:ascii="Arial" w:hAnsi="Arial" w:cs="Arial"/>
          <w:b/>
        </w:rPr>
        <w:br w:type="page"/>
      </w:r>
    </w:p>
    <w:p w14:paraId="3B633971" w14:textId="77777777" w:rsidR="00586FC6" w:rsidRPr="006C516E" w:rsidRDefault="00586FC6" w:rsidP="003A3029">
      <w:pPr>
        <w:rPr>
          <w:rFonts w:ascii="Arial" w:hAnsi="Arial" w:cs="Arial"/>
          <w:b/>
          <w:sz w:val="28"/>
        </w:rPr>
      </w:pPr>
      <w:r w:rsidRPr="006C516E">
        <w:rPr>
          <w:rFonts w:ascii="Arial" w:hAnsi="Arial" w:cs="Arial"/>
          <w:b/>
          <w:sz w:val="28"/>
        </w:rPr>
        <w:lastRenderedPageBreak/>
        <w:t xml:space="preserve">Adjustment payment </w:t>
      </w:r>
    </w:p>
    <w:p w14:paraId="689F836F" w14:textId="77777777" w:rsidR="00586FC6" w:rsidRPr="006C516E" w:rsidRDefault="008A22F8" w:rsidP="003A3029">
      <w:pPr>
        <w:rPr>
          <w:rFonts w:ascii="Arial" w:hAnsi="Arial" w:cs="Arial"/>
        </w:rPr>
      </w:pPr>
      <w:r w:rsidRPr="006C516E">
        <w:rPr>
          <w:rFonts w:ascii="Arial" w:hAnsi="Arial" w:cs="Arial"/>
        </w:rPr>
        <w:br/>
      </w:r>
      <w:r w:rsidR="00586FC6" w:rsidRPr="006C516E">
        <w:rPr>
          <w:rFonts w:ascii="Arial" w:hAnsi="Arial" w:cs="Arial"/>
        </w:rPr>
        <w:t>This payment recognises the additional, but time-limited, resource requirements when someone initially enters care. The time-limited additional costs cover the following activities:</w:t>
      </w:r>
    </w:p>
    <w:p w14:paraId="4A821BEE" w14:textId="77777777" w:rsidR="00586FC6" w:rsidRPr="006C516E" w:rsidRDefault="00586FC6" w:rsidP="003A3029">
      <w:pPr>
        <w:pStyle w:val="ListParagraph"/>
        <w:numPr>
          <w:ilvl w:val="0"/>
          <w:numId w:val="3"/>
        </w:numPr>
        <w:rPr>
          <w:rFonts w:ascii="Arial" w:hAnsi="Arial" w:cs="Arial"/>
        </w:rPr>
      </w:pPr>
      <w:r w:rsidRPr="006C516E">
        <w:rPr>
          <w:rFonts w:ascii="Arial" w:hAnsi="Arial" w:cs="Arial"/>
        </w:rPr>
        <w:t>Time spent getting to know the resident and their family</w:t>
      </w:r>
    </w:p>
    <w:p w14:paraId="7C7654CC" w14:textId="77777777" w:rsidR="00586FC6" w:rsidRPr="006C516E" w:rsidRDefault="00586FC6" w:rsidP="003A3029">
      <w:pPr>
        <w:pStyle w:val="ListParagraph"/>
        <w:numPr>
          <w:ilvl w:val="0"/>
          <w:numId w:val="3"/>
        </w:numPr>
        <w:rPr>
          <w:rFonts w:ascii="Arial" w:hAnsi="Arial" w:cs="Arial"/>
        </w:rPr>
      </w:pPr>
      <w:r w:rsidRPr="006C516E">
        <w:rPr>
          <w:rFonts w:ascii="Arial" w:hAnsi="Arial" w:cs="Arial"/>
        </w:rPr>
        <w:t>Individualised care planning</w:t>
      </w:r>
    </w:p>
    <w:p w14:paraId="62A0000E" w14:textId="77777777" w:rsidR="00586FC6" w:rsidRPr="006C516E" w:rsidRDefault="00586FC6" w:rsidP="003A3029">
      <w:pPr>
        <w:pStyle w:val="ListParagraph"/>
        <w:numPr>
          <w:ilvl w:val="0"/>
          <w:numId w:val="3"/>
        </w:numPr>
        <w:rPr>
          <w:rFonts w:ascii="Arial" w:hAnsi="Arial" w:cs="Arial"/>
        </w:rPr>
      </w:pPr>
      <w:r w:rsidRPr="006C516E">
        <w:rPr>
          <w:rFonts w:ascii="Arial" w:hAnsi="Arial" w:cs="Arial"/>
        </w:rPr>
        <w:t xml:space="preserve">Behaviour management </w:t>
      </w:r>
    </w:p>
    <w:p w14:paraId="2F2F134C" w14:textId="77777777" w:rsidR="00586FC6" w:rsidRPr="006C516E" w:rsidRDefault="00586FC6" w:rsidP="003A3029">
      <w:pPr>
        <w:pStyle w:val="ListParagraph"/>
        <w:numPr>
          <w:ilvl w:val="0"/>
          <w:numId w:val="3"/>
        </w:numPr>
        <w:rPr>
          <w:rFonts w:ascii="Arial" w:hAnsi="Arial" w:cs="Arial"/>
        </w:rPr>
      </w:pPr>
      <w:r w:rsidRPr="006C516E">
        <w:rPr>
          <w:rFonts w:ascii="Arial" w:hAnsi="Arial" w:cs="Arial"/>
        </w:rPr>
        <w:t xml:space="preserve">Health care assessments </w:t>
      </w:r>
    </w:p>
    <w:p w14:paraId="3C0407E7" w14:textId="77777777" w:rsidR="00586FC6" w:rsidRPr="006C516E" w:rsidRDefault="00586FC6" w:rsidP="003A3029">
      <w:pPr>
        <w:pStyle w:val="ListParagraph"/>
        <w:numPr>
          <w:ilvl w:val="0"/>
          <w:numId w:val="3"/>
        </w:numPr>
        <w:rPr>
          <w:rFonts w:ascii="Arial" w:hAnsi="Arial" w:cs="Arial"/>
        </w:rPr>
      </w:pPr>
      <w:r w:rsidRPr="006C516E">
        <w:rPr>
          <w:rFonts w:ascii="Arial" w:hAnsi="Arial" w:cs="Arial"/>
        </w:rPr>
        <w:t xml:space="preserve">Facilitating health care arising from assessment e.g. pain management </w:t>
      </w:r>
    </w:p>
    <w:p w14:paraId="01AFF2BA" w14:textId="77777777" w:rsidR="00586FC6" w:rsidRPr="006C516E" w:rsidRDefault="00586FC6" w:rsidP="003A3029">
      <w:pPr>
        <w:pStyle w:val="ListParagraph"/>
        <w:numPr>
          <w:ilvl w:val="0"/>
          <w:numId w:val="3"/>
        </w:numPr>
        <w:rPr>
          <w:rFonts w:ascii="Arial" w:hAnsi="Arial" w:cs="Arial"/>
        </w:rPr>
      </w:pPr>
      <w:r w:rsidRPr="006C516E">
        <w:rPr>
          <w:rFonts w:ascii="Arial" w:hAnsi="Arial" w:cs="Arial"/>
        </w:rPr>
        <w:t>Developing an advanced care directive in partnership with the resident and their family</w:t>
      </w:r>
    </w:p>
    <w:p w14:paraId="55FF79D3" w14:textId="77777777" w:rsidR="00586FC6" w:rsidRPr="006C516E" w:rsidRDefault="00586FC6" w:rsidP="003A3029">
      <w:pPr>
        <w:rPr>
          <w:rFonts w:ascii="Arial" w:hAnsi="Arial" w:cs="Arial"/>
        </w:rPr>
      </w:pPr>
      <w:r w:rsidRPr="006C516E">
        <w:rPr>
          <w:rFonts w:ascii="Arial" w:hAnsi="Arial" w:cs="Arial"/>
        </w:rPr>
        <w:br/>
        <w:t xml:space="preserve">This one-off payment relates only to an initial admission into residential aged care. The adjustment payment is not payable if a resident transfers between homes. </w:t>
      </w:r>
    </w:p>
    <w:p w14:paraId="44F16C98" w14:textId="31D65649" w:rsidR="00586FC6" w:rsidRPr="006C516E" w:rsidRDefault="00586FC6" w:rsidP="003A3029">
      <w:pPr>
        <w:rPr>
          <w:rFonts w:ascii="Arial" w:hAnsi="Arial" w:cs="Arial"/>
        </w:rPr>
      </w:pPr>
    </w:p>
    <w:p w14:paraId="0F29FA8D" w14:textId="77777777" w:rsidR="006D6F8B" w:rsidRPr="006C516E" w:rsidRDefault="006D6F8B"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6C516E">
        <w:rPr>
          <w:rFonts w:ascii="Arial" w:hAnsi="Arial" w:cs="Arial"/>
          <w:b/>
        </w:rPr>
        <w:t>Questions</w:t>
      </w:r>
    </w:p>
    <w:p w14:paraId="35C53559" w14:textId="73B1EA43" w:rsidR="006D6F8B" w:rsidRPr="006C516E" w:rsidRDefault="006D6F8B"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6C516E">
        <w:rPr>
          <w:rFonts w:ascii="Arial" w:hAnsi="Arial" w:cs="Arial"/>
        </w:rPr>
        <w:t xml:space="preserve">1. </w:t>
      </w:r>
      <w:r w:rsidR="00C50149">
        <w:rPr>
          <w:rFonts w:ascii="Arial" w:hAnsi="Arial" w:cs="Arial"/>
        </w:rPr>
        <w:t>Are there any risks or benefits of the proposed funding model that have not been identified</w:t>
      </w:r>
      <w:r w:rsidR="001471AE" w:rsidRPr="006C516E">
        <w:rPr>
          <w:rFonts w:ascii="Arial" w:hAnsi="Arial" w:cs="Arial"/>
        </w:rPr>
        <w:t>?</w:t>
      </w:r>
    </w:p>
    <w:p w14:paraId="7CDFE4FF" w14:textId="77777777" w:rsidR="00586FC6" w:rsidRPr="006C516E" w:rsidRDefault="00586FC6" w:rsidP="003A3029">
      <w:pPr>
        <w:rPr>
          <w:rFonts w:ascii="Arial" w:hAnsi="Arial" w:cs="Arial"/>
        </w:rPr>
      </w:pPr>
    </w:p>
    <w:p w14:paraId="34610C6A" w14:textId="77777777" w:rsidR="00586FC6" w:rsidRPr="006C516E" w:rsidRDefault="00586FC6" w:rsidP="003A3029">
      <w:pPr>
        <w:rPr>
          <w:rFonts w:ascii="Arial" w:hAnsi="Arial" w:cs="Arial"/>
          <w:color w:val="000000"/>
          <w:lang w:eastAsia="en-AU"/>
        </w:rPr>
      </w:pPr>
      <w:r w:rsidRPr="006C516E">
        <w:rPr>
          <w:rFonts w:ascii="Arial" w:hAnsi="Arial" w:cs="Arial"/>
        </w:rPr>
        <w:br w:type="page"/>
      </w:r>
    </w:p>
    <w:p w14:paraId="0A260911" w14:textId="77777777" w:rsidR="008A22F8" w:rsidRPr="006C516E" w:rsidRDefault="008A30A2" w:rsidP="003A3029">
      <w:pPr>
        <w:pStyle w:val="Heading1"/>
      </w:pPr>
      <w:bookmarkStart w:id="12" w:name="_Toc3383718"/>
      <w:r w:rsidRPr="006C516E">
        <w:lastRenderedPageBreak/>
        <w:t xml:space="preserve">Section 7 – </w:t>
      </w:r>
      <w:r w:rsidR="008A22F8" w:rsidRPr="006C516E">
        <w:t>How</w:t>
      </w:r>
      <w:r w:rsidRPr="006C516E">
        <w:t xml:space="preserve"> </w:t>
      </w:r>
      <w:r w:rsidR="008A22F8" w:rsidRPr="006C516E">
        <w:t>residents would be assessed and classified</w:t>
      </w:r>
      <w:r w:rsidR="000C1CC5" w:rsidRPr="006C516E">
        <w:t xml:space="preserve"> into classes for the variable </w:t>
      </w:r>
      <w:r w:rsidR="008A22F8" w:rsidRPr="006C516E">
        <w:t>payment</w:t>
      </w:r>
      <w:bookmarkEnd w:id="12"/>
    </w:p>
    <w:p w14:paraId="70367A62" w14:textId="77777777" w:rsidR="008A22F8" w:rsidRPr="006C516E" w:rsidRDefault="008A22F8" w:rsidP="003A3029">
      <w:pPr>
        <w:pStyle w:val="Default"/>
        <w:rPr>
          <w:rFonts w:ascii="Arial" w:hAnsi="Arial" w:cs="Arial"/>
          <w:sz w:val="23"/>
          <w:szCs w:val="23"/>
        </w:rPr>
      </w:pPr>
    </w:p>
    <w:p w14:paraId="7501FE0E" w14:textId="77777777" w:rsidR="00C24DC5" w:rsidRPr="006C516E" w:rsidRDefault="00C24DC5" w:rsidP="003A3029">
      <w:pPr>
        <w:rPr>
          <w:rFonts w:ascii="Arial" w:hAnsi="Arial" w:cs="Arial"/>
          <w:b/>
          <w:sz w:val="28"/>
        </w:rPr>
      </w:pPr>
      <w:r w:rsidRPr="006C516E">
        <w:rPr>
          <w:rFonts w:ascii="Arial" w:hAnsi="Arial" w:cs="Arial"/>
          <w:b/>
          <w:sz w:val="28"/>
        </w:rPr>
        <w:t>The</w:t>
      </w:r>
      <w:r w:rsidR="00603D02" w:rsidRPr="006C516E">
        <w:rPr>
          <w:rFonts w:ascii="Arial" w:hAnsi="Arial" w:cs="Arial"/>
          <w:b/>
          <w:sz w:val="28"/>
        </w:rPr>
        <w:t xml:space="preserve"> </w:t>
      </w:r>
      <w:r w:rsidRPr="006C516E">
        <w:rPr>
          <w:rFonts w:ascii="Arial" w:hAnsi="Arial" w:cs="Arial"/>
          <w:b/>
          <w:sz w:val="28"/>
        </w:rPr>
        <w:t>proposed classification system</w:t>
      </w:r>
    </w:p>
    <w:p w14:paraId="687C540C" w14:textId="77777777" w:rsidR="00C24DC5" w:rsidRPr="006C516E" w:rsidRDefault="00C24DC5" w:rsidP="003A3029">
      <w:pPr>
        <w:pStyle w:val="Default"/>
        <w:rPr>
          <w:rFonts w:ascii="Arial" w:hAnsi="Arial" w:cs="Arial"/>
          <w:sz w:val="12"/>
          <w:szCs w:val="23"/>
        </w:rPr>
      </w:pPr>
    </w:p>
    <w:p w14:paraId="04B13F08" w14:textId="7EB807CF" w:rsidR="008A22F8" w:rsidRPr="006C516E" w:rsidRDefault="00A1369C" w:rsidP="003A3029">
      <w:pPr>
        <w:pStyle w:val="Default"/>
        <w:rPr>
          <w:rFonts w:ascii="Arial" w:hAnsi="Arial" w:cs="Arial"/>
          <w:szCs w:val="23"/>
        </w:rPr>
      </w:pPr>
      <w:r w:rsidRPr="006C516E">
        <w:rPr>
          <w:rFonts w:ascii="Arial" w:hAnsi="Arial" w:cs="Arial"/>
          <w:szCs w:val="23"/>
        </w:rPr>
        <w:t xml:space="preserve">Based on a new funding assessment tool purposefully developed as part of </w:t>
      </w:r>
      <w:r w:rsidR="008A22F8" w:rsidRPr="006C516E">
        <w:rPr>
          <w:rFonts w:ascii="Arial" w:hAnsi="Arial" w:cs="Arial"/>
          <w:szCs w:val="23"/>
        </w:rPr>
        <w:t>the RUCS</w:t>
      </w:r>
      <w:r w:rsidRPr="006C516E">
        <w:rPr>
          <w:rFonts w:ascii="Arial" w:hAnsi="Arial" w:cs="Arial"/>
          <w:szCs w:val="23"/>
        </w:rPr>
        <w:t>, a casemix classification termed the Australian National Aged Care Classificati</w:t>
      </w:r>
      <w:r w:rsidR="008C6901">
        <w:rPr>
          <w:rFonts w:ascii="Arial" w:hAnsi="Arial" w:cs="Arial"/>
          <w:szCs w:val="23"/>
        </w:rPr>
        <w:t>on (AN-ACC) has been developed.</w:t>
      </w:r>
    </w:p>
    <w:p w14:paraId="1ECBD440" w14:textId="77777777" w:rsidR="008A22F8" w:rsidRPr="006C516E" w:rsidRDefault="008A22F8" w:rsidP="003A3029">
      <w:pPr>
        <w:pStyle w:val="Default"/>
        <w:rPr>
          <w:rFonts w:ascii="Arial" w:hAnsi="Arial" w:cs="Arial"/>
          <w:szCs w:val="23"/>
        </w:rPr>
      </w:pPr>
    </w:p>
    <w:p w14:paraId="0C9A5386" w14:textId="77777777" w:rsidR="00830DAA" w:rsidRPr="006C516E" w:rsidRDefault="00A1369C" w:rsidP="003A3029">
      <w:pPr>
        <w:pStyle w:val="Default"/>
        <w:rPr>
          <w:rFonts w:ascii="Arial" w:hAnsi="Arial" w:cs="Arial"/>
          <w:szCs w:val="23"/>
        </w:rPr>
      </w:pPr>
      <w:r w:rsidRPr="006C516E">
        <w:rPr>
          <w:rFonts w:ascii="Arial" w:hAnsi="Arial" w:cs="Arial"/>
          <w:szCs w:val="23"/>
        </w:rPr>
        <w:t>AN-ACC Version 1.0 comprises 13 classes and explains 50% of the variance in the cost of individual resident care. There is a fivefold variation in cost between the least and most expensive AN-ACC class.</w:t>
      </w:r>
    </w:p>
    <w:p w14:paraId="1782FEF8" w14:textId="77777777" w:rsidR="00830DAA" w:rsidRPr="006C516E" w:rsidRDefault="00830DAA" w:rsidP="003A3029">
      <w:pPr>
        <w:pStyle w:val="Default"/>
        <w:rPr>
          <w:rFonts w:ascii="Arial" w:hAnsi="Arial" w:cs="Arial"/>
          <w:szCs w:val="23"/>
        </w:rPr>
      </w:pPr>
    </w:p>
    <w:p w14:paraId="177C27EB" w14:textId="77777777" w:rsidR="00F40EFA" w:rsidRPr="006C516E" w:rsidRDefault="00830DAA" w:rsidP="003A3029">
      <w:pPr>
        <w:pStyle w:val="Default"/>
        <w:rPr>
          <w:rFonts w:ascii="Arial" w:hAnsi="Arial" w:cs="Arial"/>
          <w:b/>
          <w:sz w:val="23"/>
          <w:szCs w:val="23"/>
        </w:rPr>
      </w:pPr>
      <w:r w:rsidRPr="006C516E">
        <w:rPr>
          <w:rFonts w:ascii="Arial" w:hAnsi="Arial" w:cs="Arial"/>
          <w:b/>
          <w:sz w:val="18"/>
          <w:szCs w:val="23"/>
        </w:rPr>
        <w:t>Figure 2: AN-ACC Version 1.0 casemix classification</w:t>
      </w:r>
      <w:r w:rsidR="00C24DC5" w:rsidRPr="006C516E">
        <w:rPr>
          <w:rFonts w:ascii="Arial" w:hAnsi="Arial" w:cs="Arial"/>
          <w:b/>
          <w:szCs w:val="23"/>
        </w:rPr>
        <w:br/>
      </w:r>
      <w:r w:rsidR="00A1369C" w:rsidRPr="006C516E">
        <w:rPr>
          <w:rFonts w:ascii="Arial" w:hAnsi="Arial" w:cs="Arial"/>
          <w:b/>
          <w:szCs w:val="23"/>
        </w:rPr>
        <w:t xml:space="preserve"> </w:t>
      </w:r>
    </w:p>
    <w:p w14:paraId="11142237" w14:textId="77777777" w:rsidR="00F40EFA" w:rsidRPr="006C516E" w:rsidRDefault="00F40EFA" w:rsidP="003A3029">
      <w:pPr>
        <w:pStyle w:val="Default"/>
        <w:rPr>
          <w:rFonts w:ascii="Arial" w:hAnsi="Arial" w:cs="Arial"/>
          <w:sz w:val="23"/>
          <w:szCs w:val="23"/>
        </w:rPr>
      </w:pPr>
      <w:r w:rsidRPr="006C516E">
        <w:rPr>
          <w:rFonts w:ascii="Arial" w:hAnsi="Arial" w:cs="Arial"/>
          <w:noProof/>
        </w:rPr>
        <w:drawing>
          <wp:inline distT="0" distB="0" distL="0" distR="0" wp14:anchorId="07A7AAD0" wp14:editId="4650A4DC">
            <wp:extent cx="4850130" cy="5772063"/>
            <wp:effectExtent l="0" t="0" r="7620" b="635"/>
            <wp:docPr id="1" name="Picture 1" descr="cid:image001.png@01D4D36A.4FB4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D36A.4FB40920"/>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a:stretch/>
                  </pic:blipFill>
                  <pic:spPr bwMode="auto">
                    <a:xfrm>
                      <a:off x="0" y="0"/>
                      <a:ext cx="4852730" cy="5775157"/>
                    </a:xfrm>
                    <a:prstGeom prst="rect">
                      <a:avLst/>
                    </a:prstGeom>
                    <a:noFill/>
                    <a:ln>
                      <a:noFill/>
                    </a:ln>
                    <a:extLst>
                      <a:ext uri="{53640926-AAD7-44D8-BBD7-CCE9431645EC}">
                        <a14:shadowObscured xmlns:a14="http://schemas.microsoft.com/office/drawing/2010/main"/>
                      </a:ext>
                    </a:extLst>
                  </pic:spPr>
                </pic:pic>
              </a:graphicData>
            </a:graphic>
          </wp:inline>
        </w:drawing>
      </w:r>
    </w:p>
    <w:p w14:paraId="4C71422A" w14:textId="77777777" w:rsidR="00F40EFA" w:rsidRPr="006C516E" w:rsidRDefault="00F40EFA" w:rsidP="003A3029">
      <w:pPr>
        <w:rPr>
          <w:rFonts w:ascii="Arial" w:hAnsi="Arial" w:cs="Arial"/>
          <w:color w:val="000000"/>
          <w:szCs w:val="23"/>
          <w:lang w:eastAsia="en-AU"/>
        </w:rPr>
      </w:pPr>
      <w:r w:rsidRPr="006C516E">
        <w:rPr>
          <w:rFonts w:ascii="Arial" w:hAnsi="Arial" w:cs="Arial"/>
          <w:sz w:val="23"/>
          <w:szCs w:val="23"/>
        </w:rPr>
        <w:br w:type="page"/>
      </w:r>
    </w:p>
    <w:p w14:paraId="30042937" w14:textId="77777777" w:rsidR="00527238" w:rsidRPr="006C516E" w:rsidRDefault="00C24DC5" w:rsidP="003A3029">
      <w:pPr>
        <w:rPr>
          <w:rFonts w:ascii="Arial" w:hAnsi="Arial" w:cs="Arial"/>
          <w:b/>
          <w:sz w:val="28"/>
          <w:szCs w:val="28"/>
        </w:rPr>
      </w:pPr>
      <w:r w:rsidRPr="006C516E">
        <w:rPr>
          <w:rFonts w:ascii="Arial" w:hAnsi="Arial" w:cs="Arial"/>
          <w:b/>
          <w:sz w:val="28"/>
          <w:szCs w:val="28"/>
        </w:rPr>
        <w:lastRenderedPageBreak/>
        <w:t>The</w:t>
      </w:r>
      <w:r w:rsidR="00603D02" w:rsidRPr="006C516E">
        <w:rPr>
          <w:rFonts w:ascii="Arial" w:hAnsi="Arial" w:cs="Arial"/>
          <w:b/>
          <w:sz w:val="28"/>
          <w:szCs w:val="28"/>
        </w:rPr>
        <w:t xml:space="preserve"> </w:t>
      </w:r>
      <w:r w:rsidRPr="006C516E">
        <w:rPr>
          <w:rFonts w:ascii="Arial" w:hAnsi="Arial" w:cs="Arial"/>
          <w:b/>
          <w:sz w:val="28"/>
          <w:szCs w:val="28"/>
        </w:rPr>
        <w:t>proposed classification assessment tool and process</w:t>
      </w:r>
    </w:p>
    <w:p w14:paraId="2AADE24C" w14:textId="77777777" w:rsidR="00C24DC5" w:rsidRPr="008C6901" w:rsidRDefault="00C24DC5" w:rsidP="003A3029">
      <w:pPr>
        <w:pStyle w:val="Default"/>
        <w:rPr>
          <w:rFonts w:ascii="Arial" w:hAnsi="Arial" w:cs="Arial"/>
          <w:sz w:val="12"/>
          <w:szCs w:val="12"/>
        </w:rPr>
      </w:pPr>
    </w:p>
    <w:p w14:paraId="6BCF43BD" w14:textId="77777777" w:rsidR="00C24DC5" w:rsidRPr="006C516E" w:rsidRDefault="00C24DC5" w:rsidP="003A3029">
      <w:pPr>
        <w:autoSpaceDE w:val="0"/>
        <w:autoSpaceDN w:val="0"/>
        <w:adjustRightInd w:val="0"/>
        <w:rPr>
          <w:rFonts w:ascii="Arial" w:hAnsi="Arial" w:cs="Arial"/>
        </w:rPr>
      </w:pPr>
      <w:r w:rsidRPr="006C516E">
        <w:rPr>
          <w:rFonts w:ascii="Arial" w:hAnsi="Arial" w:cs="Arial"/>
        </w:rPr>
        <w:t xml:space="preserve">Under the AN-ACC model, care planning is still undertaken by the facility but the assessment for funding is undertaken by an external and independent assessor. </w:t>
      </w:r>
    </w:p>
    <w:p w14:paraId="0966AA77" w14:textId="77777777" w:rsidR="00C24DC5" w:rsidRPr="006C516E" w:rsidRDefault="00C24DC5" w:rsidP="003A3029">
      <w:pPr>
        <w:autoSpaceDE w:val="0"/>
        <w:autoSpaceDN w:val="0"/>
        <w:adjustRightInd w:val="0"/>
        <w:rPr>
          <w:rFonts w:ascii="Arial" w:hAnsi="Arial" w:cs="Arial"/>
        </w:rPr>
      </w:pPr>
    </w:p>
    <w:p w14:paraId="42A653FF" w14:textId="77777777" w:rsidR="00C24DC5" w:rsidRPr="006C516E" w:rsidRDefault="00C24DC5" w:rsidP="003A3029">
      <w:pPr>
        <w:autoSpaceDE w:val="0"/>
        <w:autoSpaceDN w:val="0"/>
        <w:adjustRightInd w:val="0"/>
        <w:rPr>
          <w:rFonts w:ascii="Arial" w:hAnsi="Arial" w:cs="Arial"/>
          <w:lang w:eastAsia="en-AU"/>
        </w:rPr>
      </w:pPr>
      <w:r w:rsidRPr="006C516E">
        <w:rPr>
          <w:rFonts w:ascii="Arial" w:hAnsi="Arial" w:cs="Arial"/>
        </w:rPr>
        <w:t>Residents will be classified into classes using the AN-ACC Assessment Tool (</w:t>
      </w:r>
      <w:r w:rsidRPr="006C516E">
        <w:rPr>
          <w:rFonts w:ascii="Arial" w:hAnsi="Arial" w:cs="Arial"/>
          <w:u w:val="single"/>
        </w:rPr>
        <w:t>Attachment D</w:t>
      </w:r>
      <w:r w:rsidRPr="006C516E">
        <w:rPr>
          <w:rFonts w:ascii="Arial" w:hAnsi="Arial" w:cs="Arial"/>
        </w:rPr>
        <w:t xml:space="preserve">) developed during the RUCS by the </w:t>
      </w:r>
      <w:r w:rsidR="00BC2BD5" w:rsidRPr="006C516E">
        <w:rPr>
          <w:rFonts w:ascii="Arial" w:hAnsi="Arial" w:cs="Arial"/>
        </w:rPr>
        <w:t>AHSRI</w:t>
      </w:r>
      <w:r w:rsidRPr="006C516E">
        <w:rPr>
          <w:rFonts w:ascii="Arial" w:hAnsi="Arial" w:cs="Arial"/>
        </w:rPr>
        <w:t xml:space="preserve">.  This assessed the resident using a series of questions and tools to determine the resident’s classification. </w:t>
      </w:r>
      <w:r w:rsidRPr="006C516E">
        <w:rPr>
          <w:rFonts w:ascii="Arial" w:hAnsi="Arial" w:cs="Arial"/>
          <w:lang w:eastAsia="en-AU"/>
        </w:rPr>
        <w:t xml:space="preserve">The tool has been designed to capture the core attributes that drive care costs in residential aged care. It is designed to be robust and concise and is able to be undertaken by an external expert clinician who is not familiar with the resident. </w:t>
      </w:r>
    </w:p>
    <w:p w14:paraId="01F14365" w14:textId="77777777" w:rsidR="00C24DC5" w:rsidRPr="006C516E" w:rsidRDefault="00C24DC5" w:rsidP="003A3029">
      <w:pPr>
        <w:rPr>
          <w:rFonts w:ascii="Arial" w:hAnsi="Arial" w:cs="Arial"/>
        </w:rPr>
      </w:pPr>
    </w:p>
    <w:p w14:paraId="567282F6" w14:textId="5F42D671" w:rsidR="004979F9" w:rsidRPr="006C516E" w:rsidRDefault="004979F9" w:rsidP="004979F9">
      <w:pPr>
        <w:rPr>
          <w:rFonts w:ascii="Arial" w:hAnsi="Arial" w:cs="Arial"/>
        </w:rPr>
      </w:pPr>
      <w:r w:rsidRPr="006C516E">
        <w:rPr>
          <w:rFonts w:ascii="Arial" w:hAnsi="Arial" w:cs="Arial"/>
        </w:rPr>
        <w:t xml:space="preserve">AHSRI have suggested that the assessment should be undertaken within four weeks of entry into care. Given the high degree of professional judgement required to make clinical judgements in a relatively short period of time, </w:t>
      </w:r>
      <w:r w:rsidR="00C57ED9" w:rsidRPr="006C516E">
        <w:rPr>
          <w:rFonts w:ascii="Arial" w:hAnsi="Arial" w:cs="Arial"/>
        </w:rPr>
        <w:t xml:space="preserve">assessors will need to have expert clinical skills in aged care assessment, sophisticated professional and organisational capabilities and be provided with comprehensive training and ongoing </w:t>
      </w:r>
      <w:r w:rsidR="00FC2A5C" w:rsidRPr="006C516E">
        <w:rPr>
          <w:rFonts w:ascii="Arial" w:hAnsi="Arial" w:cs="Arial"/>
        </w:rPr>
        <w:t xml:space="preserve">clinical and operational </w:t>
      </w:r>
      <w:r w:rsidR="00C57ED9" w:rsidRPr="006C516E">
        <w:rPr>
          <w:rFonts w:ascii="Arial" w:hAnsi="Arial" w:cs="Arial"/>
        </w:rPr>
        <w:t>support to ensure consistency in assessment.</w:t>
      </w:r>
    </w:p>
    <w:p w14:paraId="525D23F5" w14:textId="77777777" w:rsidR="004979F9" w:rsidRPr="006C516E" w:rsidRDefault="004979F9" w:rsidP="004979F9">
      <w:pPr>
        <w:rPr>
          <w:rFonts w:ascii="Arial" w:hAnsi="Arial" w:cs="Arial"/>
        </w:rPr>
      </w:pPr>
    </w:p>
    <w:p w14:paraId="1FB3206E" w14:textId="315AEDFF" w:rsidR="00C24DC5" w:rsidRPr="006C516E" w:rsidRDefault="00BC2BD5" w:rsidP="004979F9">
      <w:pPr>
        <w:rPr>
          <w:rFonts w:ascii="Arial" w:hAnsi="Arial" w:cs="Arial"/>
        </w:rPr>
      </w:pPr>
      <w:r w:rsidRPr="006C516E">
        <w:rPr>
          <w:rFonts w:ascii="Arial" w:hAnsi="Arial" w:cs="Arial"/>
        </w:rPr>
        <w:t>AHSRI</w:t>
      </w:r>
      <w:r w:rsidR="00C24DC5" w:rsidRPr="006C516E">
        <w:rPr>
          <w:rFonts w:ascii="Arial" w:hAnsi="Arial" w:cs="Arial"/>
        </w:rPr>
        <w:t xml:space="preserve"> have recommended that external assessor</w:t>
      </w:r>
      <w:r w:rsidR="00297036" w:rsidRPr="006C516E">
        <w:rPr>
          <w:rFonts w:ascii="Arial" w:hAnsi="Arial" w:cs="Arial"/>
        </w:rPr>
        <w:t>s</w:t>
      </w:r>
      <w:r w:rsidR="00C24DC5" w:rsidRPr="006C516E">
        <w:rPr>
          <w:rFonts w:ascii="Arial" w:hAnsi="Arial" w:cs="Arial"/>
        </w:rPr>
        <w:t xml:space="preserve"> </w:t>
      </w:r>
      <w:r w:rsidR="00C01075" w:rsidRPr="006C516E">
        <w:rPr>
          <w:rFonts w:ascii="Arial" w:hAnsi="Arial" w:cs="Arial"/>
        </w:rPr>
        <w:t xml:space="preserve">should be </w:t>
      </w:r>
      <w:r w:rsidR="00C24DC5" w:rsidRPr="006C516E">
        <w:rPr>
          <w:rFonts w:ascii="Arial" w:hAnsi="Arial" w:cs="Arial"/>
        </w:rPr>
        <w:t xml:space="preserve">credentialed </w:t>
      </w:r>
      <w:r w:rsidR="00C01075" w:rsidRPr="006C516E">
        <w:rPr>
          <w:rFonts w:ascii="Arial" w:hAnsi="Arial" w:cs="Arial"/>
        </w:rPr>
        <w:t>registered nurses, occupational therapists or physiotherapists who have experience in aged care and have completed approved assessment training.</w:t>
      </w:r>
    </w:p>
    <w:p w14:paraId="35EFF248" w14:textId="77777777" w:rsidR="00C24DC5" w:rsidRPr="006C516E" w:rsidRDefault="00C24DC5" w:rsidP="003A3029">
      <w:pPr>
        <w:rPr>
          <w:rFonts w:ascii="Arial" w:hAnsi="Arial" w:cs="Arial"/>
        </w:rPr>
      </w:pPr>
    </w:p>
    <w:p w14:paraId="512E883A" w14:textId="35F1C5C7" w:rsidR="00D156DB" w:rsidRPr="006C516E" w:rsidRDefault="00C24DC5" w:rsidP="008C6901">
      <w:pPr>
        <w:rPr>
          <w:rFonts w:ascii="Arial" w:hAnsi="Arial" w:cs="Arial"/>
        </w:rPr>
      </w:pPr>
      <w:r w:rsidRPr="006C516E">
        <w:rPr>
          <w:rFonts w:ascii="Arial" w:hAnsi="Arial" w:cs="Arial"/>
        </w:rPr>
        <w:t>The AN-ACC assessment tool is suitable for bot</w:t>
      </w:r>
      <w:r w:rsidR="002006D6" w:rsidRPr="006C516E">
        <w:rPr>
          <w:rFonts w:ascii="Arial" w:hAnsi="Arial" w:cs="Arial"/>
        </w:rPr>
        <w:t>h the initial assessment and re</w:t>
      </w:r>
      <w:r w:rsidR="002006D6" w:rsidRPr="006C516E">
        <w:rPr>
          <w:rFonts w:ascii="Arial" w:hAnsi="Arial" w:cs="Arial"/>
        </w:rPr>
        <w:noBreakHyphen/>
      </w:r>
      <w:r w:rsidRPr="006C516E">
        <w:rPr>
          <w:rFonts w:ascii="Arial" w:hAnsi="Arial" w:cs="Arial"/>
        </w:rPr>
        <w:t>assessment of a resident as needed.</w:t>
      </w:r>
    </w:p>
    <w:p w14:paraId="4B7718F8" w14:textId="77777777" w:rsidR="00C24DC5" w:rsidRPr="006C516E" w:rsidRDefault="00C24DC5" w:rsidP="003A3029">
      <w:pPr>
        <w:rPr>
          <w:rFonts w:ascii="Arial" w:hAnsi="Arial" w:cs="Arial"/>
          <w:b/>
          <w:sz w:val="28"/>
          <w:szCs w:val="28"/>
        </w:rPr>
      </w:pPr>
      <w:r w:rsidRPr="006C516E">
        <w:rPr>
          <w:rFonts w:ascii="Arial" w:hAnsi="Arial" w:cs="Arial"/>
          <w:b/>
          <w:sz w:val="28"/>
          <w:szCs w:val="28"/>
        </w:rPr>
        <w:t>Re-assessment</w:t>
      </w:r>
      <w:r w:rsidR="00603D02" w:rsidRPr="006C516E">
        <w:rPr>
          <w:rFonts w:ascii="Arial" w:hAnsi="Arial" w:cs="Arial"/>
          <w:b/>
          <w:sz w:val="28"/>
          <w:szCs w:val="28"/>
        </w:rPr>
        <w:t xml:space="preserve"> </w:t>
      </w:r>
    </w:p>
    <w:p w14:paraId="3305CA65" w14:textId="77777777" w:rsidR="00C24DC5" w:rsidRPr="008C6901" w:rsidRDefault="00C24DC5" w:rsidP="003A3029">
      <w:pPr>
        <w:rPr>
          <w:rFonts w:ascii="Arial" w:hAnsi="Arial" w:cs="Arial"/>
          <w:b/>
          <w:sz w:val="12"/>
          <w:szCs w:val="12"/>
        </w:rPr>
      </w:pPr>
    </w:p>
    <w:p w14:paraId="0032588A" w14:textId="041DE98A" w:rsidR="00C24DC5" w:rsidRPr="006C516E" w:rsidRDefault="00C11532" w:rsidP="003A3029">
      <w:pPr>
        <w:spacing w:after="120"/>
        <w:rPr>
          <w:rFonts w:ascii="Arial" w:hAnsi="Arial" w:cs="Arial"/>
        </w:rPr>
      </w:pPr>
      <w:r>
        <w:rPr>
          <w:rFonts w:ascii="Arial" w:hAnsi="Arial" w:cs="Arial"/>
        </w:rPr>
        <w:t>AHSRI</w:t>
      </w:r>
      <w:r w:rsidR="00C24DC5" w:rsidRPr="006C516E">
        <w:rPr>
          <w:rFonts w:ascii="Arial" w:hAnsi="Arial" w:cs="Arial"/>
        </w:rPr>
        <w:t xml:space="preserve"> identified three grounds for re-assessment:</w:t>
      </w:r>
    </w:p>
    <w:p w14:paraId="267B636D" w14:textId="309039AE" w:rsidR="00C24DC5" w:rsidRPr="006C516E" w:rsidRDefault="00C24DC5" w:rsidP="003A3029">
      <w:pPr>
        <w:pStyle w:val="ListParagraph"/>
        <w:numPr>
          <w:ilvl w:val="0"/>
          <w:numId w:val="8"/>
        </w:numPr>
        <w:spacing w:after="120"/>
        <w:contextualSpacing w:val="0"/>
        <w:rPr>
          <w:rFonts w:ascii="Arial" w:hAnsi="Arial" w:cs="Arial"/>
        </w:rPr>
      </w:pPr>
      <w:r w:rsidRPr="006C516E">
        <w:rPr>
          <w:rFonts w:ascii="Arial" w:hAnsi="Arial" w:cs="Arial"/>
        </w:rPr>
        <w:t xml:space="preserve">Significant hospitalisation: resident is hospitalised for </w:t>
      </w:r>
      <w:r w:rsidR="00350A98" w:rsidRPr="006C516E">
        <w:rPr>
          <w:rFonts w:ascii="Arial" w:hAnsi="Arial" w:cs="Arial"/>
        </w:rPr>
        <w:t>five</w:t>
      </w:r>
      <w:r w:rsidRPr="006C516E">
        <w:rPr>
          <w:rFonts w:ascii="Arial" w:hAnsi="Arial" w:cs="Arial"/>
        </w:rPr>
        <w:t xml:space="preserve"> or more days or resident has a general anaes</w:t>
      </w:r>
      <w:r w:rsidR="00350A98" w:rsidRPr="006C516E">
        <w:rPr>
          <w:rFonts w:ascii="Arial" w:hAnsi="Arial" w:cs="Arial"/>
        </w:rPr>
        <w:t xml:space="preserve">thetic and is in hospital for two </w:t>
      </w:r>
      <w:r w:rsidRPr="006C516E">
        <w:rPr>
          <w:rFonts w:ascii="Arial" w:hAnsi="Arial" w:cs="Arial"/>
        </w:rPr>
        <w:t xml:space="preserve">or more days. </w:t>
      </w:r>
    </w:p>
    <w:p w14:paraId="66A21667" w14:textId="77777777" w:rsidR="00C24DC5" w:rsidRPr="006C516E" w:rsidRDefault="00C24DC5" w:rsidP="003A3029">
      <w:pPr>
        <w:pStyle w:val="ListParagraph"/>
        <w:numPr>
          <w:ilvl w:val="0"/>
          <w:numId w:val="8"/>
        </w:numPr>
        <w:spacing w:after="120"/>
        <w:contextualSpacing w:val="0"/>
        <w:rPr>
          <w:rFonts w:ascii="Arial" w:hAnsi="Arial" w:cs="Arial"/>
        </w:rPr>
      </w:pPr>
      <w:r w:rsidRPr="006C516E">
        <w:rPr>
          <w:rFonts w:ascii="Arial" w:hAnsi="Arial" w:cs="Arial"/>
        </w:rPr>
        <w:t xml:space="preserve">Significant change in mobility: a resident’s mobility capacity has changed such that they move between the three mobility branches in the AN-ACC. </w:t>
      </w:r>
    </w:p>
    <w:p w14:paraId="7342526B" w14:textId="77777777" w:rsidR="00C24DC5" w:rsidRPr="006C516E" w:rsidRDefault="00C24DC5" w:rsidP="003A3029">
      <w:pPr>
        <w:pStyle w:val="ListParagraph"/>
        <w:numPr>
          <w:ilvl w:val="0"/>
          <w:numId w:val="8"/>
        </w:numPr>
        <w:rPr>
          <w:rFonts w:ascii="Arial" w:hAnsi="Arial" w:cs="Arial"/>
        </w:rPr>
      </w:pPr>
      <w:r w:rsidRPr="006C516E">
        <w:rPr>
          <w:rFonts w:ascii="Arial" w:hAnsi="Arial" w:cs="Arial"/>
        </w:rPr>
        <w:t xml:space="preserve">A standard time period for re-assessment: a facility may request a reassessment after a specified period of time if believed needed. </w:t>
      </w:r>
    </w:p>
    <w:p w14:paraId="5260CD61" w14:textId="77777777" w:rsidR="00C24DC5" w:rsidRPr="008C6901" w:rsidRDefault="00C24DC5" w:rsidP="003A3029">
      <w:pPr>
        <w:rPr>
          <w:rFonts w:ascii="Arial" w:hAnsi="Arial" w:cs="Arial"/>
          <w:sz w:val="12"/>
          <w:szCs w:val="12"/>
        </w:rPr>
      </w:pPr>
    </w:p>
    <w:p w14:paraId="66B3DB7A" w14:textId="4A6200B9" w:rsidR="00C24DC5" w:rsidRPr="006C516E" w:rsidRDefault="00C24DC5" w:rsidP="003A3029">
      <w:pPr>
        <w:rPr>
          <w:rFonts w:ascii="Arial" w:hAnsi="Arial" w:cs="Arial"/>
        </w:rPr>
      </w:pPr>
      <w:r w:rsidRPr="006C516E">
        <w:rPr>
          <w:rFonts w:ascii="Arial" w:hAnsi="Arial" w:cs="Arial"/>
        </w:rPr>
        <w:t>There is no requirement in the new model for a re-assessment to be requested by a provider. This is designed to provide an explicit incentive for high quality services to focus on restorative care and reablement.</w:t>
      </w:r>
    </w:p>
    <w:p w14:paraId="2CC29B97" w14:textId="6A71C8AE" w:rsidR="00350A98" w:rsidRPr="008C6901" w:rsidRDefault="00350A98" w:rsidP="003A3029">
      <w:pPr>
        <w:rPr>
          <w:rFonts w:ascii="Arial" w:hAnsi="Arial" w:cs="Arial"/>
          <w:sz w:val="12"/>
          <w:szCs w:val="12"/>
        </w:rPr>
      </w:pPr>
    </w:p>
    <w:p w14:paraId="415B0F61" w14:textId="77777777" w:rsidR="002D4E5D" w:rsidRPr="006C516E" w:rsidRDefault="00350A98"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6C516E">
        <w:rPr>
          <w:rFonts w:ascii="Arial" w:hAnsi="Arial" w:cs="Arial"/>
          <w:b/>
        </w:rPr>
        <w:t>Questions</w:t>
      </w:r>
    </w:p>
    <w:p w14:paraId="55F28107" w14:textId="6634B9C5" w:rsidR="002D4E5D" w:rsidRPr="006C516E" w:rsidRDefault="00E056E1"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6C516E">
        <w:rPr>
          <w:rFonts w:ascii="Arial" w:hAnsi="Arial" w:cs="Arial"/>
        </w:rPr>
        <w:t>2</w:t>
      </w:r>
      <w:r w:rsidR="002D4E5D" w:rsidRPr="006C516E">
        <w:rPr>
          <w:rFonts w:ascii="Arial" w:hAnsi="Arial" w:cs="Arial"/>
        </w:rPr>
        <w:t xml:space="preserve">. </w:t>
      </w:r>
      <w:r w:rsidR="001471AE" w:rsidRPr="006C516E">
        <w:rPr>
          <w:rFonts w:ascii="Arial" w:hAnsi="Arial" w:cs="Arial"/>
        </w:rPr>
        <w:t>Are the proposed resident assessment and classification processes appropriate? If not, why not?</w:t>
      </w:r>
    </w:p>
    <w:p w14:paraId="30F3F65C" w14:textId="5E8FF47D" w:rsidR="002D4E5D" w:rsidRPr="006C516E" w:rsidRDefault="00E056E1"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6C516E">
        <w:rPr>
          <w:rFonts w:ascii="Arial" w:hAnsi="Arial" w:cs="Arial"/>
        </w:rPr>
        <w:t>3</w:t>
      </w:r>
      <w:r w:rsidR="002D4E5D" w:rsidRPr="006C516E">
        <w:rPr>
          <w:rFonts w:ascii="Arial" w:hAnsi="Arial" w:cs="Arial"/>
        </w:rPr>
        <w:t xml:space="preserve">. </w:t>
      </w:r>
      <w:r w:rsidR="001471AE" w:rsidRPr="006C516E">
        <w:rPr>
          <w:rFonts w:ascii="Arial" w:hAnsi="Arial" w:cs="Arial"/>
        </w:rPr>
        <w:t>Are the proposed reassessment triggers appropriate? If not</w:t>
      </w:r>
      <w:r w:rsidR="003F329B" w:rsidRPr="006C516E">
        <w:rPr>
          <w:rFonts w:ascii="Arial" w:hAnsi="Arial" w:cs="Arial"/>
        </w:rPr>
        <w:t>,</w:t>
      </w:r>
      <w:r w:rsidR="001471AE" w:rsidRPr="006C516E">
        <w:rPr>
          <w:rFonts w:ascii="Arial" w:hAnsi="Arial" w:cs="Arial"/>
        </w:rPr>
        <w:t xml:space="preserve"> why not?</w:t>
      </w:r>
    </w:p>
    <w:p w14:paraId="741CBB87" w14:textId="4FEA2958" w:rsidR="002D4E5D" w:rsidRPr="006C516E" w:rsidRDefault="00E056E1"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6C516E">
        <w:rPr>
          <w:rFonts w:ascii="Arial" w:hAnsi="Arial" w:cs="Arial"/>
        </w:rPr>
        <w:t>4</w:t>
      </w:r>
      <w:r w:rsidR="002D4E5D" w:rsidRPr="006C516E">
        <w:rPr>
          <w:rFonts w:ascii="Arial" w:hAnsi="Arial" w:cs="Arial"/>
        </w:rPr>
        <w:t xml:space="preserve">. </w:t>
      </w:r>
      <w:r w:rsidR="001471AE" w:rsidRPr="006C516E">
        <w:rPr>
          <w:rFonts w:ascii="Arial" w:hAnsi="Arial" w:cs="Arial"/>
        </w:rPr>
        <w:t>Are there other factors that should be considered for inclusion as reassessment triggers?</w:t>
      </w:r>
    </w:p>
    <w:p w14:paraId="10354404" w14:textId="18C52347" w:rsidR="002D4E5D" w:rsidRPr="006C516E" w:rsidRDefault="00E056E1"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6C516E">
        <w:rPr>
          <w:rFonts w:ascii="Arial" w:hAnsi="Arial" w:cs="Arial"/>
        </w:rPr>
        <w:t>5</w:t>
      </w:r>
      <w:r w:rsidR="002D4E5D" w:rsidRPr="006C516E">
        <w:rPr>
          <w:rFonts w:ascii="Arial" w:hAnsi="Arial" w:cs="Arial"/>
        </w:rPr>
        <w:t xml:space="preserve">. </w:t>
      </w:r>
      <w:r w:rsidR="001471AE" w:rsidRPr="006C516E">
        <w:rPr>
          <w:rFonts w:ascii="Arial" w:hAnsi="Arial" w:cs="Arial"/>
        </w:rPr>
        <w:t>Should the Commonwealth consider the introduction of reassessment charges for services that trigger unnecessary reassessments?</w:t>
      </w:r>
    </w:p>
    <w:p w14:paraId="38C05541" w14:textId="42FCAFB3" w:rsidR="00243D6C" w:rsidRPr="006C516E" w:rsidRDefault="00E056E1"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6C516E">
        <w:rPr>
          <w:rFonts w:ascii="Arial" w:hAnsi="Arial" w:cs="Arial"/>
        </w:rPr>
        <w:t>6</w:t>
      </w:r>
      <w:r w:rsidR="002D4E5D" w:rsidRPr="006C516E">
        <w:rPr>
          <w:rFonts w:ascii="Arial" w:hAnsi="Arial" w:cs="Arial"/>
        </w:rPr>
        <w:t xml:space="preserve">. </w:t>
      </w:r>
      <w:r w:rsidR="00243D6C" w:rsidRPr="006C516E">
        <w:rPr>
          <w:rFonts w:ascii="Arial" w:hAnsi="Arial" w:cs="Arial"/>
        </w:rPr>
        <w:t>Should there be a requirement for reassessment in the proposed funding model?</w:t>
      </w:r>
    </w:p>
    <w:p w14:paraId="7F270990" w14:textId="77777777" w:rsidR="00454387" w:rsidRPr="006C516E" w:rsidRDefault="00454387" w:rsidP="003A3029">
      <w:pPr>
        <w:rPr>
          <w:rFonts w:ascii="Arial" w:hAnsi="Arial" w:cs="Arial"/>
          <w:b/>
          <w:bCs/>
          <w:kern w:val="28"/>
          <w:sz w:val="32"/>
          <w:szCs w:val="32"/>
        </w:rPr>
      </w:pPr>
      <w:r w:rsidRPr="006C516E">
        <w:rPr>
          <w:rFonts w:ascii="Arial" w:hAnsi="Arial" w:cs="Arial"/>
        </w:rPr>
        <w:br w:type="page"/>
      </w:r>
    </w:p>
    <w:p w14:paraId="6DE34C44" w14:textId="3EC9ED12" w:rsidR="001E1D75" w:rsidRPr="006C516E" w:rsidRDefault="008A30A2" w:rsidP="003A3029">
      <w:pPr>
        <w:pStyle w:val="Heading1"/>
      </w:pPr>
      <w:bookmarkStart w:id="13" w:name="_Toc3383719"/>
      <w:r w:rsidRPr="006C516E">
        <w:lastRenderedPageBreak/>
        <w:t>Section 8 –</w:t>
      </w:r>
      <w:r w:rsidR="008419D7" w:rsidRPr="006C516E">
        <w:t>National Weighted Activity Units (NWAUs)</w:t>
      </w:r>
      <w:r w:rsidR="001471AE" w:rsidRPr="006C516E">
        <w:t xml:space="preserve">: </w:t>
      </w:r>
      <w:r w:rsidR="001471AE" w:rsidRPr="006C516E">
        <w:rPr>
          <w:sz w:val="28"/>
          <w:szCs w:val="28"/>
        </w:rPr>
        <w:t xml:space="preserve">How </w:t>
      </w:r>
      <w:r w:rsidR="00243D6C" w:rsidRPr="006C516E">
        <w:rPr>
          <w:sz w:val="28"/>
          <w:szCs w:val="28"/>
        </w:rPr>
        <w:t>Do They W</w:t>
      </w:r>
      <w:r w:rsidR="001471AE" w:rsidRPr="006C516E">
        <w:rPr>
          <w:sz w:val="28"/>
          <w:szCs w:val="28"/>
        </w:rPr>
        <w:t>ork</w:t>
      </w:r>
      <w:r w:rsidR="00243D6C" w:rsidRPr="006C516E">
        <w:rPr>
          <w:sz w:val="28"/>
          <w:szCs w:val="28"/>
        </w:rPr>
        <w:t>?</w:t>
      </w:r>
      <w:bookmarkEnd w:id="13"/>
    </w:p>
    <w:p w14:paraId="43F1C4F7" w14:textId="77777777" w:rsidR="001E1D75" w:rsidRPr="006C516E" w:rsidRDefault="001E1D75" w:rsidP="003A3029">
      <w:pPr>
        <w:rPr>
          <w:rFonts w:ascii="Arial" w:hAnsi="Arial" w:cs="Arial"/>
          <w:b/>
        </w:rPr>
      </w:pPr>
    </w:p>
    <w:p w14:paraId="2D1DFFBD" w14:textId="77777777" w:rsidR="001E1D75" w:rsidRPr="006C516E" w:rsidRDefault="008419D7" w:rsidP="003A3029">
      <w:pPr>
        <w:rPr>
          <w:rFonts w:ascii="Arial" w:hAnsi="Arial" w:cs="Arial"/>
        </w:rPr>
      </w:pPr>
      <w:r w:rsidRPr="006C516E">
        <w:rPr>
          <w:rFonts w:ascii="Arial" w:hAnsi="Arial" w:cs="Arial"/>
        </w:rPr>
        <w:t xml:space="preserve">The total funding for each facility is calculated based on the relative costs of providing care (both individual care and shared care) expressed in terms of </w:t>
      </w:r>
      <w:r w:rsidR="001E1D75" w:rsidRPr="006C516E">
        <w:rPr>
          <w:rFonts w:ascii="Arial" w:hAnsi="Arial" w:cs="Arial"/>
        </w:rPr>
        <w:t xml:space="preserve">the National Weighted Activity Unit or </w:t>
      </w:r>
      <w:r w:rsidRPr="006C516E">
        <w:rPr>
          <w:rFonts w:ascii="Arial" w:hAnsi="Arial" w:cs="Arial"/>
        </w:rPr>
        <w:t xml:space="preserve">NWAU. The NWAU is the ‘currency’ used to express the price weights for each classification category (both fixed and variable). It represents cost relativities between classes and allows a single price to be set across all care activities. </w:t>
      </w:r>
    </w:p>
    <w:p w14:paraId="72E8BE7D" w14:textId="77777777" w:rsidR="001E1D75" w:rsidRPr="006C516E" w:rsidRDefault="001E1D75" w:rsidP="003A3029">
      <w:pPr>
        <w:rPr>
          <w:rFonts w:ascii="Arial" w:hAnsi="Arial" w:cs="Arial"/>
        </w:rPr>
      </w:pPr>
    </w:p>
    <w:p w14:paraId="65E0B087" w14:textId="77777777" w:rsidR="008419D7" w:rsidRPr="006C516E" w:rsidRDefault="008419D7" w:rsidP="003A3029">
      <w:pPr>
        <w:rPr>
          <w:rFonts w:ascii="Arial" w:hAnsi="Arial" w:cs="Arial"/>
        </w:rPr>
      </w:pPr>
      <w:r w:rsidRPr="006C516E">
        <w:rPr>
          <w:rFonts w:ascii="Arial" w:hAnsi="Arial" w:cs="Arial"/>
        </w:rPr>
        <w:t>For example if</w:t>
      </w:r>
      <w:r w:rsidR="001E1D75" w:rsidRPr="006C516E">
        <w:rPr>
          <w:rFonts w:ascii="Arial" w:hAnsi="Arial" w:cs="Arial"/>
        </w:rPr>
        <w:t xml:space="preserve">, for the individual resident flexible care payment, Class </w:t>
      </w:r>
      <w:r w:rsidRPr="006C516E">
        <w:rPr>
          <w:rFonts w:ascii="Arial" w:hAnsi="Arial" w:cs="Arial"/>
        </w:rPr>
        <w:t xml:space="preserve">A has an NWAU of 0.25 and </w:t>
      </w:r>
      <w:r w:rsidR="001E1D75" w:rsidRPr="006C516E">
        <w:rPr>
          <w:rFonts w:ascii="Arial" w:hAnsi="Arial" w:cs="Arial"/>
        </w:rPr>
        <w:t xml:space="preserve">Class </w:t>
      </w:r>
      <w:r w:rsidRPr="006C516E">
        <w:rPr>
          <w:rFonts w:ascii="Arial" w:hAnsi="Arial" w:cs="Arial"/>
        </w:rPr>
        <w:t xml:space="preserve">B an NWAU of 0.5, then </w:t>
      </w:r>
      <w:r w:rsidR="001E1D75" w:rsidRPr="006C516E">
        <w:rPr>
          <w:rFonts w:ascii="Arial" w:hAnsi="Arial" w:cs="Arial"/>
        </w:rPr>
        <w:t xml:space="preserve">Class </w:t>
      </w:r>
      <w:r w:rsidRPr="006C516E">
        <w:rPr>
          <w:rFonts w:ascii="Arial" w:hAnsi="Arial" w:cs="Arial"/>
        </w:rPr>
        <w:t>B is twice as costly as A</w:t>
      </w:r>
      <w:r w:rsidR="001E1D75" w:rsidRPr="006C516E">
        <w:rPr>
          <w:rFonts w:ascii="Arial" w:hAnsi="Arial" w:cs="Arial"/>
        </w:rPr>
        <w:t xml:space="preserve"> and will receive twice the funding</w:t>
      </w:r>
      <w:r w:rsidRPr="006C516E">
        <w:rPr>
          <w:rFonts w:ascii="Arial" w:hAnsi="Arial" w:cs="Arial"/>
        </w:rPr>
        <w:t>.</w:t>
      </w:r>
    </w:p>
    <w:p w14:paraId="77E11344" w14:textId="77777777" w:rsidR="008419D7" w:rsidRPr="006C516E" w:rsidRDefault="008419D7" w:rsidP="003A3029">
      <w:pPr>
        <w:rPr>
          <w:rFonts w:ascii="Arial" w:hAnsi="Arial" w:cs="Arial"/>
        </w:rPr>
      </w:pPr>
    </w:p>
    <w:p w14:paraId="10AD0AF2" w14:textId="77777777" w:rsidR="008419D7" w:rsidRPr="006C516E" w:rsidRDefault="001E1D75" w:rsidP="003A3029">
      <w:pPr>
        <w:rPr>
          <w:rFonts w:ascii="Arial" w:hAnsi="Arial" w:cs="Arial"/>
        </w:rPr>
      </w:pPr>
      <w:r w:rsidRPr="006C516E">
        <w:rPr>
          <w:rFonts w:ascii="Arial" w:hAnsi="Arial" w:cs="Arial"/>
        </w:rPr>
        <w:t xml:space="preserve">Government will determine the price for </w:t>
      </w:r>
      <w:r w:rsidR="008419D7" w:rsidRPr="006C516E">
        <w:rPr>
          <w:rFonts w:ascii="Arial" w:hAnsi="Arial" w:cs="Arial"/>
        </w:rPr>
        <w:t xml:space="preserve">an NWAU of 1. This price is expressed in terms of $ per </w:t>
      </w:r>
      <w:r w:rsidRPr="006C516E">
        <w:rPr>
          <w:rFonts w:ascii="Arial" w:hAnsi="Arial" w:cs="Arial"/>
        </w:rPr>
        <w:t xml:space="preserve">resident per </w:t>
      </w:r>
      <w:r w:rsidR="008419D7" w:rsidRPr="006C516E">
        <w:rPr>
          <w:rFonts w:ascii="Arial" w:hAnsi="Arial" w:cs="Arial"/>
        </w:rPr>
        <w:t>day.</w:t>
      </w:r>
      <w:r w:rsidRPr="006C516E">
        <w:rPr>
          <w:rFonts w:ascii="Arial" w:hAnsi="Arial" w:cs="Arial"/>
        </w:rPr>
        <w:t xml:space="preserve">  So, in the above example, if the Government set the NWAU of 1 at </w:t>
      </w:r>
      <w:r w:rsidR="00D156DB" w:rsidRPr="006C516E">
        <w:rPr>
          <w:rFonts w:ascii="Arial" w:hAnsi="Arial" w:cs="Arial"/>
        </w:rPr>
        <w:t xml:space="preserve">a price of </w:t>
      </w:r>
      <w:r w:rsidRPr="006C516E">
        <w:rPr>
          <w:rFonts w:ascii="Arial" w:hAnsi="Arial" w:cs="Arial"/>
        </w:rPr>
        <w:t xml:space="preserve">$1 per day then Class A would receive $0.25c per day and Class B $0.50c per day.  If it set the NWAU of 1 at </w:t>
      </w:r>
      <w:r w:rsidR="00D156DB" w:rsidRPr="006C516E">
        <w:rPr>
          <w:rFonts w:ascii="Arial" w:hAnsi="Arial" w:cs="Arial"/>
        </w:rPr>
        <w:t xml:space="preserve">a price of </w:t>
      </w:r>
      <w:r w:rsidRPr="006C516E">
        <w:rPr>
          <w:rFonts w:ascii="Arial" w:hAnsi="Arial" w:cs="Arial"/>
        </w:rPr>
        <w:t>$2 per day then Class A would receive $0.50c per day and Class B $1 per day.</w:t>
      </w:r>
    </w:p>
    <w:p w14:paraId="5989A77A" w14:textId="77777777" w:rsidR="008419D7" w:rsidRPr="006C516E" w:rsidRDefault="008419D7" w:rsidP="003A3029">
      <w:pPr>
        <w:rPr>
          <w:rFonts w:ascii="Arial" w:hAnsi="Arial" w:cs="Arial"/>
        </w:rPr>
      </w:pPr>
    </w:p>
    <w:p w14:paraId="10EACAB1" w14:textId="77777777" w:rsidR="008419D7" w:rsidRPr="006C516E" w:rsidRDefault="008419D7" w:rsidP="003A3029">
      <w:pPr>
        <w:rPr>
          <w:rFonts w:ascii="Arial" w:hAnsi="Arial" w:cs="Arial"/>
        </w:rPr>
      </w:pPr>
      <w:r w:rsidRPr="006C516E">
        <w:rPr>
          <w:rFonts w:ascii="Arial" w:hAnsi="Arial" w:cs="Arial"/>
        </w:rPr>
        <w:t>The total weighted care day per resident comprises three components:</w:t>
      </w:r>
    </w:p>
    <w:p w14:paraId="1A6E93D6" w14:textId="77777777" w:rsidR="008419D7" w:rsidRPr="006C516E" w:rsidRDefault="008419D7" w:rsidP="003A3029">
      <w:pPr>
        <w:rPr>
          <w:rFonts w:ascii="Arial" w:hAnsi="Arial" w:cs="Arial"/>
        </w:rPr>
      </w:pPr>
    </w:p>
    <w:p w14:paraId="1F2A40AD" w14:textId="77777777" w:rsidR="008419D7" w:rsidRPr="006C516E" w:rsidRDefault="008419D7" w:rsidP="003A3029">
      <w:pPr>
        <w:pStyle w:val="ListParagraph"/>
        <w:numPr>
          <w:ilvl w:val="0"/>
          <w:numId w:val="7"/>
        </w:numPr>
        <w:rPr>
          <w:rFonts w:ascii="Arial" w:hAnsi="Arial" w:cs="Arial"/>
        </w:rPr>
      </w:pPr>
      <w:r w:rsidRPr="006C516E">
        <w:rPr>
          <w:rFonts w:ascii="Arial" w:hAnsi="Arial" w:cs="Arial"/>
        </w:rPr>
        <w:t xml:space="preserve">The total </w:t>
      </w:r>
      <w:r w:rsidRPr="006C516E">
        <w:rPr>
          <w:rFonts w:ascii="Arial" w:hAnsi="Arial" w:cs="Arial"/>
          <w:b/>
        </w:rPr>
        <w:t>base care tariff</w:t>
      </w:r>
      <w:r w:rsidRPr="006C516E">
        <w:rPr>
          <w:rFonts w:ascii="Arial" w:hAnsi="Arial" w:cs="Arial"/>
        </w:rPr>
        <w:t xml:space="preserve"> (fixed component) NWAU: This is the standard daily bed day tariff determined for each different type of facility related to fixed </w:t>
      </w:r>
      <w:r w:rsidR="001E1D75" w:rsidRPr="006C516E">
        <w:rPr>
          <w:rFonts w:ascii="Arial" w:hAnsi="Arial" w:cs="Arial"/>
        </w:rPr>
        <w:t xml:space="preserve">(shared) </w:t>
      </w:r>
      <w:r w:rsidRPr="006C516E">
        <w:rPr>
          <w:rFonts w:ascii="Arial" w:hAnsi="Arial" w:cs="Arial"/>
        </w:rPr>
        <w:t xml:space="preserve">care costs. This tariff is paid for every resident bed day in the funding period. </w:t>
      </w:r>
      <w:r w:rsidR="001E1D75" w:rsidRPr="006C516E">
        <w:rPr>
          <w:rFonts w:ascii="Arial" w:hAnsi="Arial" w:cs="Arial"/>
        </w:rPr>
        <w:br/>
      </w:r>
    </w:p>
    <w:p w14:paraId="32FFEEB6" w14:textId="77777777" w:rsidR="008419D7" w:rsidRPr="006C516E" w:rsidRDefault="008419D7" w:rsidP="003A3029">
      <w:pPr>
        <w:pStyle w:val="ListParagraph"/>
        <w:numPr>
          <w:ilvl w:val="0"/>
          <w:numId w:val="7"/>
        </w:numPr>
        <w:rPr>
          <w:rFonts w:ascii="Arial" w:hAnsi="Arial" w:cs="Arial"/>
        </w:rPr>
      </w:pPr>
      <w:r w:rsidRPr="006C516E">
        <w:rPr>
          <w:rFonts w:ascii="Arial" w:hAnsi="Arial" w:cs="Arial"/>
        </w:rPr>
        <w:t xml:space="preserve">The total </w:t>
      </w:r>
      <w:r w:rsidRPr="006C516E">
        <w:rPr>
          <w:rFonts w:ascii="Arial" w:hAnsi="Arial" w:cs="Arial"/>
          <w:b/>
        </w:rPr>
        <w:t xml:space="preserve">variable component </w:t>
      </w:r>
      <w:r w:rsidRPr="006C516E">
        <w:rPr>
          <w:rFonts w:ascii="Arial" w:hAnsi="Arial" w:cs="Arial"/>
        </w:rPr>
        <w:t xml:space="preserve">NWAU: This is the variable component based on the AN-ACC class for each resident in care. This accounts for the variable care costs for residents with different individual care needs. An AN-ACC NWAU is assigned for each resident bed day based on the resident AN-ACC class. The total AN-ACC NWAU for the facility is the sum of NWAU across all residents for their total days of stay within the funding period. </w:t>
      </w:r>
    </w:p>
    <w:p w14:paraId="1F7588FF" w14:textId="77777777" w:rsidR="001E1D75" w:rsidRPr="006C516E" w:rsidRDefault="001E1D75" w:rsidP="003A3029">
      <w:pPr>
        <w:pStyle w:val="ListParagraph"/>
        <w:rPr>
          <w:rFonts w:ascii="Arial" w:hAnsi="Arial" w:cs="Arial"/>
        </w:rPr>
      </w:pPr>
    </w:p>
    <w:p w14:paraId="7B15600C" w14:textId="06089072" w:rsidR="008419D7" w:rsidRPr="006C516E" w:rsidRDefault="008419D7" w:rsidP="003A3029">
      <w:pPr>
        <w:pStyle w:val="ListParagraph"/>
        <w:numPr>
          <w:ilvl w:val="0"/>
          <w:numId w:val="7"/>
        </w:numPr>
        <w:rPr>
          <w:rFonts w:ascii="Arial" w:hAnsi="Arial" w:cs="Arial"/>
        </w:rPr>
      </w:pPr>
      <w:r w:rsidRPr="006C516E">
        <w:rPr>
          <w:rFonts w:ascii="Arial" w:hAnsi="Arial" w:cs="Arial"/>
        </w:rPr>
        <w:t xml:space="preserve">The total </w:t>
      </w:r>
      <w:r w:rsidR="001E1D75" w:rsidRPr="006C516E">
        <w:rPr>
          <w:rFonts w:ascii="Arial" w:hAnsi="Arial" w:cs="Arial"/>
          <w:b/>
        </w:rPr>
        <w:t>entry a</w:t>
      </w:r>
      <w:r w:rsidRPr="006C516E">
        <w:rPr>
          <w:rFonts w:ascii="Arial" w:hAnsi="Arial" w:cs="Arial"/>
          <w:b/>
        </w:rPr>
        <w:t xml:space="preserve">djustment </w:t>
      </w:r>
      <w:r w:rsidR="001E1D75" w:rsidRPr="006C516E">
        <w:rPr>
          <w:rFonts w:ascii="Arial" w:hAnsi="Arial" w:cs="Arial"/>
          <w:b/>
        </w:rPr>
        <w:t xml:space="preserve">period </w:t>
      </w:r>
      <w:r w:rsidRPr="006C516E">
        <w:rPr>
          <w:rFonts w:ascii="Arial" w:hAnsi="Arial" w:cs="Arial"/>
        </w:rPr>
        <w:t>NWAU: This is an additional payment set at a standard rate per new resident admitted for the first time during the funding period.</w:t>
      </w:r>
    </w:p>
    <w:p w14:paraId="7E129C26" w14:textId="77777777" w:rsidR="008419D7" w:rsidRPr="006C516E" w:rsidRDefault="008419D7" w:rsidP="003A3029">
      <w:pPr>
        <w:pStyle w:val="ListParagraph"/>
        <w:rPr>
          <w:rFonts w:ascii="Arial" w:hAnsi="Arial" w:cs="Arial"/>
        </w:rPr>
      </w:pPr>
    </w:p>
    <w:p w14:paraId="76477751" w14:textId="77777777" w:rsidR="008C6901" w:rsidRDefault="008419D7" w:rsidP="008C6901">
      <w:pPr>
        <w:jc w:val="center"/>
        <w:rPr>
          <w:rFonts w:ascii="Arial" w:hAnsi="Arial" w:cs="Arial"/>
          <w:b/>
          <w:sz w:val="28"/>
          <w:szCs w:val="28"/>
        </w:rPr>
      </w:pPr>
      <w:r w:rsidRPr="006C516E">
        <w:rPr>
          <w:rFonts w:ascii="Arial" w:hAnsi="Arial" w:cs="Arial"/>
          <w:noProof/>
          <w:lang w:eastAsia="en-AU"/>
        </w:rPr>
        <mc:AlternateContent>
          <mc:Choice Requires="wps">
            <w:drawing>
              <wp:inline distT="0" distB="0" distL="0" distR="0" wp14:anchorId="1ED167B6" wp14:editId="62847826">
                <wp:extent cx="4819650" cy="1019175"/>
                <wp:effectExtent l="0" t="0" r="19050" b="28575"/>
                <wp:docPr id="24" name="Rounded Rectangle 24"/>
                <wp:cNvGraphicFramePr/>
                <a:graphic xmlns:a="http://schemas.openxmlformats.org/drawingml/2006/main">
                  <a:graphicData uri="http://schemas.microsoft.com/office/word/2010/wordprocessingShape">
                    <wps:wsp>
                      <wps:cNvSpPr/>
                      <wps:spPr>
                        <a:xfrm>
                          <a:off x="0" y="0"/>
                          <a:ext cx="4819650" cy="1019175"/>
                        </a:xfrm>
                        <a:prstGeom prst="round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108A03" w14:textId="77777777" w:rsidR="00AB14BB" w:rsidRPr="00A2523E" w:rsidRDefault="00AB14BB" w:rsidP="008419D7">
                            <w:pPr>
                              <w:spacing w:line="276" w:lineRule="auto"/>
                              <w:jc w:val="center"/>
                              <w:rPr>
                                <w:b/>
                                <w:sz w:val="32"/>
                                <w:szCs w:val="32"/>
                              </w:rPr>
                            </w:pPr>
                            <w:r w:rsidRPr="00A2523E">
                              <w:rPr>
                                <w:b/>
                                <w:sz w:val="32"/>
                                <w:szCs w:val="32"/>
                              </w:rPr>
                              <w:t>Total Payment =</w:t>
                            </w:r>
                            <w:r>
                              <w:rPr>
                                <w:b/>
                                <w:sz w:val="32"/>
                                <w:szCs w:val="32"/>
                              </w:rPr>
                              <w:t xml:space="preserve"> Price x</w:t>
                            </w:r>
                          </w:p>
                          <w:p w14:paraId="4A8B57DA" w14:textId="77777777" w:rsidR="00AB14BB" w:rsidRPr="00A2523E" w:rsidRDefault="00AB14BB" w:rsidP="008419D7">
                            <w:pPr>
                              <w:spacing w:line="276" w:lineRule="auto"/>
                              <w:jc w:val="center"/>
                              <w:rPr>
                                <w:sz w:val="28"/>
                                <w:szCs w:val="28"/>
                              </w:rPr>
                            </w:pPr>
                            <w:r>
                              <w:rPr>
                                <w:sz w:val="28"/>
                                <w:szCs w:val="28"/>
                              </w:rPr>
                              <w:t xml:space="preserve">{ </w:t>
                            </w:r>
                            <w:r w:rsidRPr="00A2523E">
                              <w:rPr>
                                <w:sz w:val="28"/>
                                <w:szCs w:val="28"/>
                              </w:rPr>
                              <w:t xml:space="preserve">Base care tariff (total NWAU) + AN-ACC variable component (total NWAU) + Adjustment payment (NWAU) </w:t>
                            </w:r>
                            <w:r>
                              <w:rPr>
                                <w:sz w:val="28"/>
                                <w:szCs w:val="28"/>
                              </w:rPr>
                              <w:t>}</w:t>
                            </w:r>
                          </w:p>
                          <w:p w14:paraId="5EB619F7" w14:textId="77777777" w:rsidR="00AB14BB" w:rsidRDefault="00AB14BB" w:rsidP="00841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ED167B6" id="Rounded Rectangle 24" o:spid="_x0000_s1026" style="width:379.5pt;height:8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" fillcolor="#099" strokecolor="#243f60 [1604]" strokeweight="2pt">
                <v:textbox>
                  <w:txbxContent>
                    <w:p w14:paraId="39108A03" w14:textId="77777777" w:rsidR="00AB14BB" w:rsidRPr="00A2523E" w:rsidRDefault="00AB14BB" w:rsidP="008419D7">
                      <w:pPr>
                        <w:spacing w:line="276" w:lineRule="auto"/>
                        <w:jc w:val="center"/>
                        <w:rPr>
                          <w:b/>
                          <w:sz w:val="32"/>
                          <w:szCs w:val="32"/>
                        </w:rPr>
                      </w:pPr>
                      <w:r w:rsidRPr="00A2523E">
                        <w:rPr>
                          <w:b/>
                          <w:sz w:val="32"/>
                          <w:szCs w:val="32"/>
                        </w:rPr>
                        <w:t>Total Payment =</w:t>
                      </w:r>
                      <w:r>
                        <w:rPr>
                          <w:b/>
                          <w:sz w:val="32"/>
                          <w:szCs w:val="32"/>
                        </w:rPr>
                        <w:t xml:space="preserve"> Price x</w:t>
                      </w:r>
                    </w:p>
                    <w:p w14:paraId="4A8B57DA" w14:textId="77777777" w:rsidR="00AB14BB" w:rsidRPr="00A2523E" w:rsidRDefault="00AB14BB" w:rsidP="008419D7">
                      <w:pPr>
                        <w:spacing w:line="276" w:lineRule="auto"/>
                        <w:jc w:val="center"/>
                        <w:rPr>
                          <w:sz w:val="28"/>
                          <w:szCs w:val="28"/>
                        </w:rPr>
                      </w:pPr>
                      <w:r>
                        <w:rPr>
                          <w:sz w:val="28"/>
                          <w:szCs w:val="28"/>
                        </w:rPr>
                        <w:t xml:space="preserve">{ </w:t>
                      </w:r>
                      <w:r w:rsidRPr="00A2523E">
                        <w:rPr>
                          <w:sz w:val="28"/>
                          <w:szCs w:val="28"/>
                        </w:rPr>
                        <w:t xml:space="preserve">Base care tariff (total NWAU) + AN-ACC variable component (total NWAU) + Adjustment payment (NWAU) </w:t>
                      </w:r>
                      <w:r>
                        <w:rPr>
                          <w:sz w:val="28"/>
                          <w:szCs w:val="28"/>
                        </w:rPr>
                        <w:t>}</w:t>
                      </w:r>
                    </w:p>
                    <w:p w14:paraId="5EB619F7" w14:textId="77777777" w:rsidR="00AB14BB" w:rsidRDefault="00AB14BB" w:rsidP="008419D7">
                      <w:pPr>
                        <w:jc w:val="center"/>
                      </w:pPr>
                    </w:p>
                  </w:txbxContent>
                </v:textbox>
                <w10:anchorlock/>
              </v:roundrect>
            </w:pict>
          </mc:Fallback>
        </mc:AlternateContent>
      </w:r>
    </w:p>
    <w:p w14:paraId="17A6E14A" w14:textId="77777777" w:rsidR="008C6901" w:rsidRDefault="008C6901">
      <w:pPr>
        <w:rPr>
          <w:rFonts w:ascii="Arial" w:hAnsi="Arial" w:cs="Arial"/>
          <w:b/>
          <w:sz w:val="28"/>
          <w:szCs w:val="28"/>
        </w:rPr>
      </w:pPr>
      <w:r>
        <w:rPr>
          <w:rFonts w:ascii="Arial" w:hAnsi="Arial" w:cs="Arial"/>
          <w:b/>
          <w:sz w:val="28"/>
          <w:szCs w:val="28"/>
        </w:rPr>
        <w:br w:type="page"/>
      </w:r>
    </w:p>
    <w:p w14:paraId="0B0EF56C" w14:textId="2EB95962" w:rsidR="008419D7" w:rsidRPr="006C516E" w:rsidRDefault="001E1D75" w:rsidP="008C6901">
      <w:pPr>
        <w:rPr>
          <w:rFonts w:ascii="Arial" w:hAnsi="Arial" w:cs="Arial"/>
          <w:b/>
          <w:sz w:val="28"/>
          <w:szCs w:val="28"/>
        </w:rPr>
      </w:pPr>
      <w:r w:rsidRPr="006C516E">
        <w:rPr>
          <w:rFonts w:ascii="Arial" w:hAnsi="Arial" w:cs="Arial"/>
          <w:b/>
          <w:sz w:val="28"/>
          <w:szCs w:val="28"/>
        </w:rPr>
        <w:lastRenderedPageBreak/>
        <w:t>NWAUs</w:t>
      </w:r>
      <w:r w:rsidR="00603D02" w:rsidRPr="006C516E">
        <w:rPr>
          <w:rFonts w:ascii="Arial" w:hAnsi="Arial" w:cs="Arial"/>
          <w:b/>
          <w:sz w:val="28"/>
          <w:szCs w:val="28"/>
        </w:rPr>
        <w:t xml:space="preserve"> </w:t>
      </w:r>
      <w:r w:rsidRPr="006C516E">
        <w:rPr>
          <w:rFonts w:ascii="Arial" w:hAnsi="Arial" w:cs="Arial"/>
          <w:b/>
          <w:sz w:val="28"/>
          <w:szCs w:val="28"/>
        </w:rPr>
        <w:t xml:space="preserve">recommended by </w:t>
      </w:r>
      <w:r w:rsidR="00BC2BD5" w:rsidRPr="006C516E">
        <w:rPr>
          <w:rFonts w:ascii="Arial" w:hAnsi="Arial" w:cs="Arial"/>
          <w:b/>
          <w:sz w:val="28"/>
          <w:szCs w:val="28"/>
        </w:rPr>
        <w:t>AHSRI</w:t>
      </w:r>
    </w:p>
    <w:p w14:paraId="57E9D7CC" w14:textId="77777777" w:rsidR="001E1D75" w:rsidRPr="00BF0455" w:rsidRDefault="001E1D75" w:rsidP="003A3029">
      <w:pPr>
        <w:rPr>
          <w:rFonts w:ascii="Arial" w:hAnsi="Arial" w:cs="Arial"/>
          <w:b/>
        </w:rPr>
      </w:pPr>
    </w:p>
    <w:p w14:paraId="4108835A" w14:textId="77777777" w:rsidR="001E1D75" w:rsidRPr="006C516E" w:rsidRDefault="001E1D75" w:rsidP="003A3029">
      <w:pPr>
        <w:rPr>
          <w:rFonts w:ascii="Arial" w:hAnsi="Arial" w:cs="Arial"/>
        </w:rPr>
      </w:pPr>
      <w:r w:rsidRPr="006C516E">
        <w:rPr>
          <w:rFonts w:ascii="Arial" w:hAnsi="Arial" w:cs="Arial"/>
        </w:rPr>
        <w:t xml:space="preserve">The NWAUs recommended by the </w:t>
      </w:r>
      <w:r w:rsidR="00BC2BD5" w:rsidRPr="006C516E">
        <w:rPr>
          <w:rFonts w:ascii="Arial" w:hAnsi="Arial" w:cs="Arial"/>
        </w:rPr>
        <w:t>AHSRI</w:t>
      </w:r>
      <w:r w:rsidRPr="006C516E">
        <w:rPr>
          <w:rFonts w:ascii="Arial" w:hAnsi="Arial" w:cs="Arial"/>
        </w:rPr>
        <w:t xml:space="preserve"> based on the findings from the RUCS are as follows.</w:t>
      </w:r>
    </w:p>
    <w:p w14:paraId="7EA3F027" w14:textId="77777777" w:rsidR="008419D7" w:rsidRPr="00BF0455" w:rsidRDefault="008419D7" w:rsidP="003A3029">
      <w:pPr>
        <w:rPr>
          <w:rFonts w:ascii="Arial" w:hAnsi="Arial" w:cs="Arial"/>
          <w:b/>
          <w:bCs/>
          <w:sz w:val="18"/>
          <w:szCs w:val="18"/>
        </w:rPr>
      </w:pPr>
    </w:p>
    <w:p w14:paraId="72410DEA" w14:textId="50E90EE6" w:rsidR="001032B6" w:rsidRPr="00C40AB1" w:rsidRDefault="001032B6" w:rsidP="003A3029">
      <w:pPr>
        <w:pStyle w:val="Caption"/>
        <w:keepNext/>
        <w:rPr>
          <w:rFonts w:ascii="Arial" w:hAnsi="Arial" w:cs="Arial"/>
          <w:color w:val="auto"/>
          <w:sz w:val="24"/>
          <w:szCs w:val="24"/>
        </w:rPr>
      </w:pPr>
      <w:r w:rsidRPr="00C40AB1">
        <w:rPr>
          <w:rFonts w:ascii="Arial" w:hAnsi="Arial" w:cs="Arial"/>
          <w:color w:val="auto"/>
          <w:sz w:val="24"/>
          <w:szCs w:val="24"/>
        </w:rPr>
        <w:t xml:space="preserve">Table </w:t>
      </w:r>
      <w:r w:rsidR="007809CE" w:rsidRPr="00C40AB1">
        <w:rPr>
          <w:rFonts w:ascii="Arial" w:hAnsi="Arial" w:cs="Arial"/>
          <w:noProof/>
          <w:color w:val="auto"/>
          <w:sz w:val="24"/>
          <w:szCs w:val="24"/>
        </w:rPr>
        <w:fldChar w:fldCharType="begin"/>
      </w:r>
      <w:r w:rsidR="007809CE" w:rsidRPr="00C40AB1">
        <w:rPr>
          <w:rFonts w:ascii="Arial" w:hAnsi="Arial" w:cs="Arial"/>
          <w:noProof/>
          <w:color w:val="auto"/>
          <w:sz w:val="24"/>
          <w:szCs w:val="24"/>
        </w:rPr>
        <w:instrText xml:space="preserve"> SEQ Table \* ARABIC </w:instrText>
      </w:r>
      <w:r w:rsidR="007809CE" w:rsidRPr="00C40AB1">
        <w:rPr>
          <w:rFonts w:ascii="Arial" w:hAnsi="Arial" w:cs="Arial"/>
          <w:noProof/>
          <w:color w:val="auto"/>
          <w:sz w:val="24"/>
          <w:szCs w:val="24"/>
        </w:rPr>
        <w:fldChar w:fldCharType="separate"/>
      </w:r>
      <w:r w:rsidR="002B5080" w:rsidRPr="00C40AB1">
        <w:rPr>
          <w:rFonts w:ascii="Arial" w:hAnsi="Arial" w:cs="Arial"/>
          <w:noProof/>
          <w:color w:val="auto"/>
          <w:sz w:val="24"/>
          <w:szCs w:val="24"/>
        </w:rPr>
        <w:t>1</w:t>
      </w:r>
      <w:r w:rsidR="007809CE" w:rsidRPr="00C40AB1">
        <w:rPr>
          <w:rFonts w:ascii="Arial" w:hAnsi="Arial" w:cs="Arial"/>
          <w:noProof/>
          <w:color w:val="auto"/>
          <w:sz w:val="24"/>
          <w:szCs w:val="24"/>
        </w:rPr>
        <w:fldChar w:fldCharType="end"/>
      </w:r>
      <w:r w:rsidRPr="00C40AB1">
        <w:rPr>
          <w:rFonts w:ascii="Arial" w:hAnsi="Arial" w:cs="Arial"/>
          <w:color w:val="auto"/>
          <w:sz w:val="24"/>
          <w:szCs w:val="24"/>
        </w:rPr>
        <w:t>: Base Care Tariffs and AN-ACC classes NWAUs</w:t>
      </w:r>
    </w:p>
    <w:tbl>
      <w:tblPr>
        <w:tblW w:w="5000" w:type="pct"/>
        <w:tblCellMar>
          <w:left w:w="0" w:type="dxa"/>
          <w:right w:w="0" w:type="dxa"/>
        </w:tblCellMar>
        <w:tblLook w:val="04A0" w:firstRow="1" w:lastRow="0" w:firstColumn="1" w:lastColumn="0" w:noHBand="0" w:noVBand="1"/>
        <w:tblCaption w:val="Table 1 Base Care Tariffs and AN-ACC classes NWAUs"/>
        <w:tblDescription w:val="This table presents the base care tariffs and the AN-ACC individualised care funding with each calibrated as a National Weighted Activity Unit (NWAU) for residential aged care. The one-off adjustment payment (also calibrated as an NWAU) is also presented. This table is divided into three sections to be read in rows from left to right. The first section is to be read as a series of rows ('base care tariff' then 'facility description' then 'base care tariff NWAU'). The second section is to be read as a series of rows ('AN-ACC class' then 'facility description' then 'AN-ACC NWAU'). The third section is to be read as a series of rows ('other payments' then 'payment description' then 'one-off NWAU')."/>
      </w:tblPr>
      <w:tblGrid>
        <w:gridCol w:w="2003"/>
        <w:gridCol w:w="5020"/>
        <w:gridCol w:w="1983"/>
      </w:tblGrid>
      <w:tr w:rsidR="00BF0455" w14:paraId="54794A38" w14:textId="77777777" w:rsidTr="002738C7">
        <w:trPr>
          <w:trHeight w:val="425"/>
        </w:trPr>
        <w:tc>
          <w:tcPr>
            <w:tcW w:w="11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90FF9" w14:textId="77777777" w:rsidR="00BF0455" w:rsidRDefault="00BF0455">
            <w:pPr>
              <w:spacing w:line="276" w:lineRule="auto"/>
              <w:jc w:val="center"/>
              <w:rPr>
                <w:rFonts w:ascii="Calibri" w:hAnsi="Calibri"/>
                <w:b/>
                <w:bCs/>
                <w:color w:val="000000"/>
                <w:szCs w:val="22"/>
              </w:rPr>
            </w:pPr>
            <w:r>
              <w:rPr>
                <w:b/>
                <w:bCs/>
                <w:color w:val="000000"/>
              </w:rPr>
              <w:t>Base care tariff</w:t>
            </w:r>
          </w:p>
        </w:tc>
        <w:tc>
          <w:tcPr>
            <w:tcW w:w="27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6816C" w14:textId="77777777" w:rsidR="00BF0455" w:rsidRDefault="00BF0455">
            <w:pPr>
              <w:spacing w:line="276" w:lineRule="auto"/>
              <w:rPr>
                <w:b/>
                <w:bCs/>
                <w:color w:val="000000"/>
              </w:rPr>
            </w:pPr>
            <w:r>
              <w:rPr>
                <w:b/>
                <w:bCs/>
                <w:color w:val="000000"/>
              </w:rPr>
              <w:t>Facility description</w:t>
            </w:r>
          </w:p>
        </w:tc>
        <w:tc>
          <w:tcPr>
            <w:tcW w:w="11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4FEE64" w14:textId="77777777" w:rsidR="00BF0455" w:rsidRDefault="00BF0455">
            <w:pPr>
              <w:spacing w:line="276" w:lineRule="auto"/>
              <w:jc w:val="center"/>
              <w:rPr>
                <w:b/>
                <w:bCs/>
                <w:color w:val="000000"/>
              </w:rPr>
            </w:pPr>
            <w:r>
              <w:rPr>
                <w:b/>
                <w:bCs/>
                <w:color w:val="000000"/>
              </w:rPr>
              <w:t>Base care tariff NWAU</w:t>
            </w:r>
          </w:p>
        </w:tc>
      </w:tr>
      <w:tr w:rsidR="00BF0455" w14:paraId="5B8AEB35"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122A8" w14:textId="77777777" w:rsidR="00BF0455" w:rsidRDefault="00BF0455">
            <w:pPr>
              <w:spacing w:line="276" w:lineRule="auto"/>
              <w:jc w:val="center"/>
              <w:rPr>
                <w:color w:val="000000"/>
              </w:rPr>
            </w:pPr>
            <w:r>
              <w:rPr>
                <w:color w:val="000000"/>
              </w:rPr>
              <w:t>Tariff 1</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2E3B587B" w14:textId="77777777" w:rsidR="00BF0455" w:rsidRDefault="00BF0455">
            <w:pPr>
              <w:spacing w:line="276" w:lineRule="auto"/>
            </w:pPr>
            <w:r>
              <w:t>Indigenous, MMM=7</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35BE2B2B" w14:textId="77777777" w:rsidR="00BF0455" w:rsidRDefault="00BF0455">
            <w:pPr>
              <w:spacing w:line="276" w:lineRule="auto"/>
              <w:jc w:val="center"/>
            </w:pPr>
            <w:r>
              <w:t>1.80</w:t>
            </w:r>
          </w:p>
        </w:tc>
      </w:tr>
      <w:tr w:rsidR="00BF0455" w14:paraId="1D1E7C99"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E413E" w14:textId="77777777" w:rsidR="00BF0455" w:rsidRDefault="00BF0455">
            <w:pPr>
              <w:spacing w:line="276" w:lineRule="auto"/>
              <w:jc w:val="center"/>
              <w:rPr>
                <w:color w:val="000000"/>
              </w:rPr>
            </w:pPr>
            <w:r>
              <w:rPr>
                <w:color w:val="000000"/>
              </w:rPr>
              <w:t>Tariff 2</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4FC9E46E" w14:textId="77777777" w:rsidR="00BF0455" w:rsidRDefault="00BF0455">
            <w:pPr>
              <w:spacing w:line="276" w:lineRule="auto"/>
              <w:rPr>
                <w:color w:val="000000"/>
              </w:rPr>
            </w:pPr>
            <w:r>
              <w:rPr>
                <w:color w:val="000000"/>
              </w:rPr>
              <w:t>Indigenous, MMM=6</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0F4D2203" w14:textId="77777777" w:rsidR="00BF0455" w:rsidRDefault="00BF0455">
            <w:pPr>
              <w:spacing w:line="276" w:lineRule="auto"/>
              <w:jc w:val="center"/>
              <w:rPr>
                <w:color w:val="000000"/>
              </w:rPr>
            </w:pPr>
            <w:r>
              <w:rPr>
                <w:color w:val="000000"/>
              </w:rPr>
              <w:t>0.78</w:t>
            </w:r>
          </w:p>
        </w:tc>
      </w:tr>
      <w:tr w:rsidR="00BF0455" w14:paraId="3F490585"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EB334" w14:textId="77777777" w:rsidR="00BF0455" w:rsidRDefault="00BF0455">
            <w:pPr>
              <w:spacing w:line="276" w:lineRule="auto"/>
              <w:jc w:val="center"/>
              <w:rPr>
                <w:color w:val="000000"/>
              </w:rPr>
            </w:pPr>
            <w:r>
              <w:rPr>
                <w:color w:val="000000"/>
              </w:rPr>
              <w:t>Tariff 3</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244D9F85" w14:textId="77777777" w:rsidR="00BF0455" w:rsidRDefault="00BF0455">
            <w:pPr>
              <w:spacing w:line="276" w:lineRule="auto"/>
              <w:rPr>
                <w:color w:val="000000"/>
              </w:rPr>
            </w:pPr>
            <w:r>
              <w:rPr>
                <w:color w:val="000000"/>
              </w:rPr>
              <w:t>Non-indigenous, MMM=6-7, &lt; 30 beds</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50ED6BAF" w14:textId="77777777" w:rsidR="00BF0455" w:rsidRDefault="00BF0455">
            <w:pPr>
              <w:spacing w:line="276" w:lineRule="auto"/>
              <w:jc w:val="center"/>
              <w:rPr>
                <w:color w:val="000000"/>
              </w:rPr>
            </w:pPr>
            <w:r>
              <w:rPr>
                <w:color w:val="000000"/>
              </w:rPr>
              <w:t>0.68</w:t>
            </w:r>
          </w:p>
        </w:tc>
      </w:tr>
      <w:tr w:rsidR="00BF0455" w14:paraId="30E16455"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59D33" w14:textId="77777777" w:rsidR="00BF0455" w:rsidRDefault="00BF0455">
            <w:pPr>
              <w:spacing w:line="276" w:lineRule="auto"/>
              <w:jc w:val="center"/>
              <w:rPr>
                <w:color w:val="000000"/>
              </w:rPr>
            </w:pPr>
            <w:r>
              <w:rPr>
                <w:color w:val="000000"/>
              </w:rPr>
              <w:t>Tariff 4</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284C9E39" w14:textId="77777777" w:rsidR="00BF0455" w:rsidRDefault="00BF0455">
            <w:pPr>
              <w:spacing w:line="276" w:lineRule="auto"/>
              <w:rPr>
                <w:color w:val="000000"/>
              </w:rPr>
            </w:pPr>
            <w:r>
              <w:rPr>
                <w:color w:val="000000"/>
              </w:rPr>
              <w:t>Non-indigenous, MMM=6-7, 30+ beds</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1E5EAB61" w14:textId="77777777" w:rsidR="00BF0455" w:rsidRDefault="00BF0455">
            <w:pPr>
              <w:spacing w:line="276" w:lineRule="auto"/>
              <w:jc w:val="center"/>
              <w:rPr>
                <w:color w:val="000000"/>
              </w:rPr>
            </w:pPr>
            <w:r>
              <w:rPr>
                <w:color w:val="000000"/>
              </w:rPr>
              <w:t>0.52</w:t>
            </w:r>
          </w:p>
        </w:tc>
      </w:tr>
      <w:tr w:rsidR="00BF0455" w14:paraId="28D78F89"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2DE47" w14:textId="77777777" w:rsidR="00BF0455" w:rsidRDefault="00BF0455">
            <w:pPr>
              <w:spacing w:line="276" w:lineRule="auto"/>
              <w:jc w:val="center"/>
              <w:rPr>
                <w:color w:val="000000"/>
              </w:rPr>
            </w:pPr>
            <w:r>
              <w:rPr>
                <w:color w:val="000000"/>
              </w:rPr>
              <w:t>Tariff 5</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21A63BFC" w14:textId="77777777" w:rsidR="00BF0455" w:rsidRDefault="00BF0455">
            <w:pPr>
              <w:spacing w:line="276" w:lineRule="auto"/>
              <w:rPr>
                <w:color w:val="000000"/>
              </w:rPr>
            </w:pPr>
            <w:r>
              <w:rPr>
                <w:color w:val="000000"/>
              </w:rPr>
              <w:t xml:space="preserve">Specialised homeless </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0158057F" w14:textId="77777777" w:rsidR="00BF0455" w:rsidRDefault="00BF0455">
            <w:pPr>
              <w:spacing w:line="276" w:lineRule="auto"/>
              <w:jc w:val="center"/>
              <w:rPr>
                <w:color w:val="000000"/>
              </w:rPr>
            </w:pPr>
            <w:r>
              <w:rPr>
                <w:color w:val="000000"/>
              </w:rPr>
              <w:t>0.92</w:t>
            </w:r>
          </w:p>
        </w:tc>
      </w:tr>
      <w:tr w:rsidR="00BF0455" w14:paraId="6DBC036A"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A4FA9" w14:textId="77777777" w:rsidR="00BF0455" w:rsidRDefault="00BF0455">
            <w:pPr>
              <w:spacing w:line="276" w:lineRule="auto"/>
              <w:jc w:val="center"/>
              <w:rPr>
                <w:color w:val="000000"/>
              </w:rPr>
            </w:pPr>
            <w:r>
              <w:rPr>
                <w:color w:val="000000"/>
              </w:rPr>
              <w:t>Tariff 6</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50BF0A61" w14:textId="77777777" w:rsidR="00BF0455" w:rsidRDefault="00BF0455">
            <w:pPr>
              <w:spacing w:line="276" w:lineRule="auto"/>
              <w:rPr>
                <w:color w:val="000000"/>
              </w:rPr>
            </w:pPr>
            <w:r>
              <w:rPr>
                <w:color w:val="000000"/>
              </w:rPr>
              <w:t>All other RACFs</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4BFE16C3" w14:textId="77777777" w:rsidR="00BF0455" w:rsidRDefault="00BF0455">
            <w:pPr>
              <w:spacing w:line="276" w:lineRule="auto"/>
              <w:jc w:val="center"/>
              <w:rPr>
                <w:color w:val="000000"/>
              </w:rPr>
            </w:pPr>
            <w:r>
              <w:rPr>
                <w:color w:val="000000"/>
              </w:rPr>
              <w:t>0.49</w:t>
            </w:r>
          </w:p>
        </w:tc>
      </w:tr>
      <w:tr w:rsidR="00BF0455" w14:paraId="77657054"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BEBC6" w14:textId="77777777" w:rsidR="00BF0455" w:rsidRDefault="00BF0455">
            <w:pPr>
              <w:spacing w:line="276" w:lineRule="auto"/>
              <w:jc w:val="center"/>
              <w:rPr>
                <w:b/>
                <w:bCs/>
                <w:color w:val="000000"/>
              </w:rPr>
            </w:pPr>
            <w:r>
              <w:rPr>
                <w:b/>
                <w:bCs/>
                <w:color w:val="000000"/>
              </w:rPr>
              <w:t>AN-ACC class</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6FF0E4EA" w14:textId="77777777" w:rsidR="00BF0455" w:rsidRDefault="00BF0455">
            <w:pPr>
              <w:spacing w:line="276" w:lineRule="auto"/>
              <w:rPr>
                <w:b/>
                <w:bCs/>
                <w:color w:val="000000"/>
              </w:rPr>
            </w:pPr>
            <w:r>
              <w:rPr>
                <w:b/>
                <w:bCs/>
                <w:color w:val="000000"/>
              </w:rPr>
              <w:t>Resident description</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078AEAFC" w14:textId="77777777" w:rsidR="00BF0455" w:rsidRDefault="00BF0455">
            <w:pPr>
              <w:spacing w:line="276" w:lineRule="auto"/>
              <w:jc w:val="center"/>
              <w:rPr>
                <w:b/>
                <w:bCs/>
                <w:color w:val="000000"/>
              </w:rPr>
            </w:pPr>
            <w:r>
              <w:rPr>
                <w:b/>
                <w:bCs/>
                <w:color w:val="000000"/>
              </w:rPr>
              <w:t>AN-ACC NWAU</w:t>
            </w:r>
          </w:p>
        </w:tc>
      </w:tr>
      <w:tr w:rsidR="00BF0455" w14:paraId="7D48C3B8"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33BDB" w14:textId="77777777" w:rsidR="00BF0455" w:rsidRDefault="00BF0455">
            <w:pPr>
              <w:spacing w:line="276" w:lineRule="auto"/>
              <w:jc w:val="center"/>
            </w:pPr>
            <w:r>
              <w:t>Class 1</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706C056A" w14:textId="77777777" w:rsidR="00BF0455" w:rsidRDefault="00BF0455">
            <w:pPr>
              <w:spacing w:line="276" w:lineRule="auto"/>
            </w:pPr>
            <w:r>
              <w:t>Admit for palliative care</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7B18B0EF" w14:textId="77777777" w:rsidR="00BF0455" w:rsidRDefault="00BF0455">
            <w:pPr>
              <w:spacing w:line="276" w:lineRule="auto"/>
              <w:jc w:val="center"/>
              <w:rPr>
                <w:color w:val="000000"/>
              </w:rPr>
            </w:pPr>
            <w:r>
              <w:rPr>
                <w:color w:val="000000"/>
              </w:rPr>
              <w:t>0.96</w:t>
            </w:r>
          </w:p>
        </w:tc>
      </w:tr>
      <w:tr w:rsidR="00BF0455" w14:paraId="5AF799A9"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976A2" w14:textId="77777777" w:rsidR="00BF0455" w:rsidRDefault="00BF0455">
            <w:pPr>
              <w:spacing w:line="276" w:lineRule="auto"/>
              <w:jc w:val="center"/>
              <w:rPr>
                <w:color w:val="000000"/>
              </w:rPr>
            </w:pPr>
            <w:r>
              <w:rPr>
                <w:color w:val="000000"/>
              </w:rPr>
              <w:t>Class 2</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13990A62" w14:textId="77777777" w:rsidR="00BF0455" w:rsidRDefault="00BF0455">
            <w:pPr>
              <w:spacing w:line="276" w:lineRule="auto"/>
              <w:rPr>
                <w:color w:val="000000"/>
              </w:rPr>
            </w:pPr>
            <w:r>
              <w:rPr>
                <w:color w:val="000000"/>
              </w:rPr>
              <w:t>Independent without CF</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713009DF" w14:textId="77777777" w:rsidR="00BF0455" w:rsidRDefault="00BF0455">
            <w:pPr>
              <w:spacing w:line="276" w:lineRule="auto"/>
              <w:jc w:val="center"/>
              <w:rPr>
                <w:color w:val="000000"/>
              </w:rPr>
            </w:pPr>
            <w:r>
              <w:rPr>
                <w:color w:val="000000"/>
              </w:rPr>
              <w:t>0.18</w:t>
            </w:r>
          </w:p>
        </w:tc>
      </w:tr>
      <w:tr w:rsidR="00BF0455" w14:paraId="124CB2F2"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EC6BA" w14:textId="77777777" w:rsidR="00BF0455" w:rsidRDefault="00BF0455">
            <w:pPr>
              <w:spacing w:line="276" w:lineRule="auto"/>
              <w:jc w:val="center"/>
              <w:rPr>
                <w:color w:val="000000"/>
              </w:rPr>
            </w:pPr>
            <w:r>
              <w:rPr>
                <w:color w:val="000000"/>
              </w:rPr>
              <w:t>Class 3</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02AAC1B7" w14:textId="77777777" w:rsidR="00BF0455" w:rsidRDefault="00BF0455">
            <w:pPr>
              <w:spacing w:line="276" w:lineRule="auto"/>
              <w:rPr>
                <w:color w:val="000000"/>
              </w:rPr>
            </w:pPr>
            <w:r>
              <w:rPr>
                <w:color w:val="000000"/>
              </w:rPr>
              <w:t>Independent with CF</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6BD62B6C" w14:textId="77777777" w:rsidR="00BF0455" w:rsidRDefault="00BF0455">
            <w:pPr>
              <w:spacing w:line="276" w:lineRule="auto"/>
              <w:jc w:val="center"/>
              <w:rPr>
                <w:color w:val="000000"/>
              </w:rPr>
            </w:pPr>
            <w:r>
              <w:rPr>
                <w:color w:val="000000"/>
              </w:rPr>
              <w:t>0.30</w:t>
            </w:r>
          </w:p>
        </w:tc>
      </w:tr>
      <w:tr w:rsidR="00BF0455" w14:paraId="7553A62A"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996E7" w14:textId="77777777" w:rsidR="00BF0455" w:rsidRDefault="00BF0455">
            <w:pPr>
              <w:spacing w:line="276" w:lineRule="auto"/>
              <w:jc w:val="center"/>
              <w:rPr>
                <w:color w:val="000000"/>
              </w:rPr>
            </w:pPr>
            <w:r>
              <w:rPr>
                <w:color w:val="000000"/>
              </w:rPr>
              <w:t>Class 4</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0A9EDD1C" w14:textId="77777777" w:rsidR="00BF0455" w:rsidRDefault="00BF0455">
            <w:pPr>
              <w:spacing w:line="276" w:lineRule="auto"/>
              <w:rPr>
                <w:color w:val="000000"/>
              </w:rPr>
            </w:pPr>
            <w:r>
              <w:rPr>
                <w:color w:val="000000"/>
              </w:rPr>
              <w:t>Assisted mobility, high cognition, without CF</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0B952FB3" w14:textId="77777777" w:rsidR="00BF0455" w:rsidRDefault="00BF0455">
            <w:pPr>
              <w:spacing w:line="276" w:lineRule="auto"/>
              <w:jc w:val="center"/>
              <w:rPr>
                <w:color w:val="000000"/>
              </w:rPr>
            </w:pPr>
            <w:r>
              <w:rPr>
                <w:color w:val="000000"/>
              </w:rPr>
              <w:t>0.20</w:t>
            </w:r>
          </w:p>
        </w:tc>
      </w:tr>
      <w:tr w:rsidR="00BF0455" w14:paraId="636C1F43"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A85AE" w14:textId="77777777" w:rsidR="00BF0455" w:rsidRDefault="00BF0455">
            <w:pPr>
              <w:spacing w:line="276" w:lineRule="auto"/>
              <w:jc w:val="center"/>
              <w:rPr>
                <w:color w:val="000000"/>
              </w:rPr>
            </w:pPr>
            <w:r>
              <w:rPr>
                <w:color w:val="000000"/>
              </w:rPr>
              <w:t>Class 5</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058737C3" w14:textId="77777777" w:rsidR="00BF0455" w:rsidRDefault="00BF0455">
            <w:pPr>
              <w:spacing w:line="276" w:lineRule="auto"/>
              <w:rPr>
                <w:color w:val="000000"/>
              </w:rPr>
            </w:pPr>
            <w:r>
              <w:rPr>
                <w:color w:val="000000"/>
              </w:rPr>
              <w:t>Assisted mobility, high cognition, with CF</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2F72D542" w14:textId="77777777" w:rsidR="00BF0455" w:rsidRDefault="00BF0455">
            <w:pPr>
              <w:spacing w:line="276" w:lineRule="auto"/>
              <w:jc w:val="center"/>
              <w:rPr>
                <w:color w:val="000000"/>
              </w:rPr>
            </w:pPr>
            <w:r>
              <w:rPr>
                <w:color w:val="000000"/>
              </w:rPr>
              <w:t>0.36</w:t>
            </w:r>
          </w:p>
        </w:tc>
      </w:tr>
      <w:tr w:rsidR="00BF0455" w14:paraId="4E649A8A"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848D2" w14:textId="77777777" w:rsidR="00BF0455" w:rsidRDefault="00BF0455">
            <w:pPr>
              <w:spacing w:line="276" w:lineRule="auto"/>
              <w:jc w:val="center"/>
              <w:rPr>
                <w:color w:val="000000"/>
              </w:rPr>
            </w:pPr>
            <w:r>
              <w:rPr>
                <w:color w:val="000000"/>
              </w:rPr>
              <w:t>Class 6</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610E8750" w14:textId="77777777" w:rsidR="00BF0455" w:rsidRDefault="00BF0455">
            <w:pPr>
              <w:spacing w:line="276" w:lineRule="auto"/>
              <w:rPr>
                <w:color w:val="000000"/>
              </w:rPr>
            </w:pPr>
            <w:r>
              <w:rPr>
                <w:color w:val="000000"/>
              </w:rPr>
              <w:t>Assisted mobility, medium cognition, without CF</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0569FEE7" w14:textId="77777777" w:rsidR="00BF0455" w:rsidRDefault="00BF0455">
            <w:pPr>
              <w:spacing w:line="276" w:lineRule="auto"/>
              <w:jc w:val="center"/>
              <w:rPr>
                <w:color w:val="000000"/>
              </w:rPr>
            </w:pPr>
            <w:r>
              <w:rPr>
                <w:color w:val="000000"/>
              </w:rPr>
              <w:t>0.34</w:t>
            </w:r>
          </w:p>
        </w:tc>
      </w:tr>
      <w:tr w:rsidR="00BF0455" w14:paraId="46E0E0A7"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989EF" w14:textId="77777777" w:rsidR="00BF0455" w:rsidRDefault="00BF0455">
            <w:pPr>
              <w:spacing w:line="276" w:lineRule="auto"/>
              <w:jc w:val="center"/>
              <w:rPr>
                <w:color w:val="000000"/>
              </w:rPr>
            </w:pPr>
            <w:r>
              <w:rPr>
                <w:color w:val="000000"/>
              </w:rPr>
              <w:t>Class 7</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2B7D5B96" w14:textId="77777777" w:rsidR="00BF0455" w:rsidRDefault="00BF0455">
            <w:pPr>
              <w:spacing w:line="276" w:lineRule="auto"/>
              <w:rPr>
                <w:color w:val="000000"/>
              </w:rPr>
            </w:pPr>
            <w:r>
              <w:rPr>
                <w:color w:val="000000"/>
              </w:rPr>
              <w:t>Assisted mobility, medium cognition, with CF</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032F4118" w14:textId="77777777" w:rsidR="00BF0455" w:rsidRDefault="00BF0455">
            <w:pPr>
              <w:spacing w:line="276" w:lineRule="auto"/>
              <w:jc w:val="center"/>
              <w:rPr>
                <w:color w:val="000000"/>
              </w:rPr>
            </w:pPr>
            <w:r>
              <w:rPr>
                <w:color w:val="000000"/>
              </w:rPr>
              <w:t>0.47</w:t>
            </w:r>
          </w:p>
        </w:tc>
      </w:tr>
      <w:tr w:rsidR="00BF0455" w14:paraId="35D6E2E3"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74395" w14:textId="77777777" w:rsidR="00BF0455" w:rsidRDefault="00BF0455">
            <w:pPr>
              <w:spacing w:line="276" w:lineRule="auto"/>
              <w:jc w:val="center"/>
              <w:rPr>
                <w:color w:val="000000"/>
              </w:rPr>
            </w:pPr>
            <w:r>
              <w:rPr>
                <w:color w:val="000000"/>
              </w:rPr>
              <w:t>Class 8</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63887E99" w14:textId="77777777" w:rsidR="00BF0455" w:rsidRDefault="00BF0455">
            <w:pPr>
              <w:spacing w:line="276" w:lineRule="auto"/>
              <w:rPr>
                <w:color w:val="000000"/>
              </w:rPr>
            </w:pPr>
            <w:r>
              <w:rPr>
                <w:color w:val="000000"/>
              </w:rPr>
              <w:t>Assisted mobility, low cognition</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066D9AC3" w14:textId="77777777" w:rsidR="00BF0455" w:rsidRDefault="00BF0455">
            <w:pPr>
              <w:spacing w:line="276" w:lineRule="auto"/>
              <w:jc w:val="center"/>
              <w:rPr>
                <w:color w:val="000000"/>
              </w:rPr>
            </w:pPr>
            <w:r>
              <w:rPr>
                <w:color w:val="000000"/>
              </w:rPr>
              <w:t>0.51</w:t>
            </w:r>
          </w:p>
        </w:tc>
      </w:tr>
      <w:tr w:rsidR="00BF0455" w14:paraId="2725B76A"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AF336" w14:textId="77777777" w:rsidR="00BF0455" w:rsidRDefault="00BF0455">
            <w:pPr>
              <w:spacing w:line="276" w:lineRule="auto"/>
              <w:jc w:val="center"/>
              <w:rPr>
                <w:color w:val="000000"/>
              </w:rPr>
            </w:pPr>
            <w:r>
              <w:rPr>
                <w:color w:val="000000"/>
              </w:rPr>
              <w:t>Class 9</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77E122CD" w14:textId="77777777" w:rsidR="00BF0455" w:rsidRDefault="00BF0455">
            <w:pPr>
              <w:spacing w:line="276" w:lineRule="auto"/>
              <w:rPr>
                <w:color w:val="000000"/>
              </w:rPr>
            </w:pPr>
            <w:r>
              <w:rPr>
                <w:color w:val="000000"/>
              </w:rPr>
              <w:t>Not mobile, higher function, without CF</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1300F78E" w14:textId="77777777" w:rsidR="00BF0455" w:rsidRDefault="00BF0455">
            <w:pPr>
              <w:spacing w:line="276" w:lineRule="auto"/>
              <w:jc w:val="center"/>
              <w:rPr>
                <w:color w:val="000000"/>
              </w:rPr>
            </w:pPr>
            <w:r>
              <w:rPr>
                <w:color w:val="000000"/>
              </w:rPr>
              <w:t>0.52</w:t>
            </w:r>
          </w:p>
        </w:tc>
      </w:tr>
      <w:tr w:rsidR="00BF0455" w14:paraId="03B06647"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A1327" w14:textId="77777777" w:rsidR="00BF0455" w:rsidRDefault="00BF0455">
            <w:pPr>
              <w:spacing w:line="276" w:lineRule="auto"/>
              <w:jc w:val="center"/>
              <w:rPr>
                <w:color w:val="000000"/>
              </w:rPr>
            </w:pPr>
            <w:r>
              <w:rPr>
                <w:color w:val="000000"/>
              </w:rPr>
              <w:t>Class 10</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50BDC178" w14:textId="77777777" w:rsidR="00BF0455" w:rsidRDefault="00BF0455">
            <w:pPr>
              <w:spacing w:line="276" w:lineRule="auto"/>
              <w:rPr>
                <w:color w:val="000000"/>
              </w:rPr>
            </w:pPr>
            <w:r>
              <w:rPr>
                <w:color w:val="000000"/>
              </w:rPr>
              <w:t>Not mobile, higher function, with CF</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1AB3EDA4" w14:textId="77777777" w:rsidR="00BF0455" w:rsidRDefault="00BF0455">
            <w:pPr>
              <w:spacing w:line="276" w:lineRule="auto"/>
              <w:jc w:val="center"/>
              <w:rPr>
                <w:color w:val="000000"/>
              </w:rPr>
            </w:pPr>
            <w:r>
              <w:rPr>
                <w:color w:val="000000"/>
              </w:rPr>
              <w:t>0.83</w:t>
            </w:r>
          </w:p>
        </w:tc>
      </w:tr>
      <w:tr w:rsidR="00BF0455" w14:paraId="18DE2FC2"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06007" w14:textId="77777777" w:rsidR="00BF0455" w:rsidRDefault="00BF0455">
            <w:pPr>
              <w:spacing w:line="276" w:lineRule="auto"/>
              <w:jc w:val="center"/>
              <w:rPr>
                <w:color w:val="000000"/>
              </w:rPr>
            </w:pPr>
            <w:r>
              <w:rPr>
                <w:color w:val="000000"/>
              </w:rPr>
              <w:t>Class 11</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2380A2CB" w14:textId="77777777" w:rsidR="00BF0455" w:rsidRDefault="00BF0455">
            <w:pPr>
              <w:spacing w:line="276" w:lineRule="auto"/>
              <w:rPr>
                <w:color w:val="000000"/>
              </w:rPr>
            </w:pPr>
            <w:r>
              <w:rPr>
                <w:color w:val="000000"/>
              </w:rPr>
              <w:t>Not mobile, lower function, lower pressure sore risk</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18F20CB5" w14:textId="77777777" w:rsidR="00BF0455" w:rsidRDefault="00BF0455">
            <w:pPr>
              <w:spacing w:line="276" w:lineRule="auto"/>
              <w:jc w:val="center"/>
              <w:rPr>
                <w:color w:val="000000"/>
              </w:rPr>
            </w:pPr>
            <w:r>
              <w:rPr>
                <w:color w:val="000000"/>
              </w:rPr>
              <w:t>0.80</w:t>
            </w:r>
          </w:p>
        </w:tc>
      </w:tr>
      <w:tr w:rsidR="00BF0455" w14:paraId="0DFF7E74"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ADB34" w14:textId="77777777" w:rsidR="00BF0455" w:rsidRDefault="00BF0455">
            <w:pPr>
              <w:spacing w:line="276" w:lineRule="auto"/>
              <w:jc w:val="center"/>
              <w:rPr>
                <w:color w:val="000000"/>
              </w:rPr>
            </w:pPr>
            <w:r>
              <w:rPr>
                <w:color w:val="000000"/>
              </w:rPr>
              <w:t>Class 12</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4D18166F" w14:textId="77777777" w:rsidR="00BF0455" w:rsidRDefault="00BF0455">
            <w:pPr>
              <w:spacing w:line="276" w:lineRule="auto"/>
              <w:rPr>
                <w:color w:val="000000"/>
              </w:rPr>
            </w:pPr>
            <w:r>
              <w:rPr>
                <w:color w:val="000000"/>
              </w:rPr>
              <w:t>Not mobile, lower function, higher pressure sore risk, without CF</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3021712C" w14:textId="77777777" w:rsidR="00BF0455" w:rsidRDefault="00BF0455">
            <w:pPr>
              <w:spacing w:line="276" w:lineRule="auto"/>
              <w:jc w:val="center"/>
              <w:rPr>
                <w:color w:val="000000"/>
              </w:rPr>
            </w:pPr>
            <w:r>
              <w:rPr>
                <w:color w:val="000000"/>
              </w:rPr>
              <w:t>0.78</w:t>
            </w:r>
          </w:p>
        </w:tc>
      </w:tr>
      <w:tr w:rsidR="00BF0455" w14:paraId="44AD891D"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2D6F9" w14:textId="77777777" w:rsidR="00BF0455" w:rsidRDefault="00BF0455">
            <w:pPr>
              <w:spacing w:line="276" w:lineRule="auto"/>
              <w:jc w:val="center"/>
              <w:rPr>
                <w:color w:val="000000"/>
              </w:rPr>
            </w:pPr>
            <w:r>
              <w:rPr>
                <w:color w:val="000000"/>
              </w:rPr>
              <w:t>Class 13</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0B1DD618" w14:textId="77777777" w:rsidR="00BF0455" w:rsidRDefault="00BF0455">
            <w:pPr>
              <w:spacing w:line="276" w:lineRule="auto"/>
              <w:rPr>
                <w:color w:val="000000"/>
              </w:rPr>
            </w:pPr>
            <w:r>
              <w:rPr>
                <w:color w:val="000000"/>
              </w:rPr>
              <w:t>Not mobile, lower function, higher pressure sore risk, with CF</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12AAFCB6" w14:textId="77777777" w:rsidR="00BF0455" w:rsidRDefault="00BF0455">
            <w:pPr>
              <w:spacing w:line="276" w:lineRule="auto"/>
              <w:jc w:val="center"/>
              <w:rPr>
                <w:color w:val="000000"/>
              </w:rPr>
            </w:pPr>
            <w:r>
              <w:rPr>
                <w:color w:val="000000"/>
              </w:rPr>
              <w:t>0.96</w:t>
            </w:r>
          </w:p>
        </w:tc>
      </w:tr>
      <w:tr w:rsidR="00BF0455" w14:paraId="79461222"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203D0" w14:textId="77777777" w:rsidR="00BF0455" w:rsidRDefault="00BF0455">
            <w:pPr>
              <w:spacing w:line="276" w:lineRule="auto"/>
              <w:jc w:val="center"/>
              <w:rPr>
                <w:b/>
                <w:bCs/>
                <w:color w:val="000000"/>
              </w:rPr>
            </w:pPr>
            <w:r>
              <w:rPr>
                <w:b/>
                <w:bCs/>
                <w:color w:val="000000"/>
              </w:rPr>
              <w:t>Other payments</w:t>
            </w:r>
          </w:p>
        </w:tc>
        <w:tc>
          <w:tcPr>
            <w:tcW w:w="2786" w:type="pct"/>
            <w:tcBorders>
              <w:top w:val="nil"/>
              <w:left w:val="nil"/>
              <w:bottom w:val="single" w:sz="8" w:space="0" w:color="auto"/>
              <w:right w:val="single" w:sz="8" w:space="0" w:color="auto"/>
            </w:tcBorders>
            <w:tcMar>
              <w:top w:w="0" w:type="dxa"/>
              <w:left w:w="108" w:type="dxa"/>
              <w:bottom w:w="0" w:type="dxa"/>
              <w:right w:w="108" w:type="dxa"/>
            </w:tcMar>
            <w:hideMark/>
          </w:tcPr>
          <w:p w14:paraId="41091A14" w14:textId="77777777" w:rsidR="00BF0455" w:rsidRDefault="00BF0455">
            <w:pPr>
              <w:spacing w:line="276" w:lineRule="auto"/>
              <w:rPr>
                <w:b/>
                <w:bCs/>
                <w:color w:val="000000"/>
              </w:rPr>
            </w:pPr>
            <w:r>
              <w:rPr>
                <w:b/>
                <w:bCs/>
                <w:color w:val="000000"/>
              </w:rPr>
              <w:t>Payment description</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153A511A" w14:textId="77777777" w:rsidR="00BF0455" w:rsidRDefault="00BF0455">
            <w:pPr>
              <w:spacing w:line="276" w:lineRule="auto"/>
              <w:jc w:val="center"/>
              <w:rPr>
                <w:b/>
                <w:bCs/>
                <w:color w:val="000000"/>
              </w:rPr>
            </w:pPr>
            <w:r>
              <w:rPr>
                <w:b/>
                <w:bCs/>
                <w:color w:val="000000"/>
              </w:rPr>
              <w:t>One-off NWAU</w:t>
            </w:r>
          </w:p>
        </w:tc>
      </w:tr>
      <w:tr w:rsidR="00BF0455" w14:paraId="1E59AA85" w14:textId="77777777" w:rsidTr="002738C7">
        <w:trPr>
          <w:trHeight w:val="425"/>
        </w:trPr>
        <w:tc>
          <w:tcPr>
            <w:tcW w:w="11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28B54" w14:textId="77777777" w:rsidR="00BF0455" w:rsidRDefault="00BF0455">
            <w:pPr>
              <w:spacing w:line="276" w:lineRule="auto"/>
              <w:jc w:val="center"/>
              <w:rPr>
                <w:color w:val="000000"/>
              </w:rPr>
            </w:pPr>
            <w:r>
              <w:rPr>
                <w:color w:val="000000"/>
              </w:rPr>
              <w:t>Adjustment payment</w:t>
            </w:r>
          </w:p>
        </w:tc>
        <w:tc>
          <w:tcPr>
            <w:tcW w:w="2786" w:type="pct"/>
            <w:tcBorders>
              <w:top w:val="nil"/>
              <w:left w:val="nil"/>
              <w:bottom w:val="single" w:sz="8" w:space="0" w:color="auto"/>
              <w:right w:val="single" w:sz="8" w:space="0" w:color="auto"/>
            </w:tcBorders>
            <w:tcMar>
              <w:top w:w="0" w:type="dxa"/>
              <w:left w:w="108" w:type="dxa"/>
              <w:bottom w:w="0" w:type="dxa"/>
              <w:right w:w="108" w:type="dxa"/>
            </w:tcMar>
          </w:tcPr>
          <w:p w14:paraId="7E17DB6C" w14:textId="77777777" w:rsidR="00BF0455" w:rsidRDefault="00BF0455">
            <w:pPr>
              <w:spacing w:line="276" w:lineRule="auto"/>
              <w:rPr>
                <w:color w:val="000000"/>
              </w:rPr>
            </w:pPr>
            <w:r>
              <w:rPr>
                <w:color w:val="000000"/>
              </w:rPr>
              <w:t>Payment on entry into residential aged care</w:t>
            </w:r>
          </w:p>
          <w:p w14:paraId="7449AA21" w14:textId="77777777" w:rsidR="00BF0455" w:rsidRDefault="00BF0455">
            <w:pPr>
              <w:spacing w:line="276" w:lineRule="auto"/>
              <w:rPr>
                <w:color w:val="000000"/>
              </w:rPr>
            </w:pP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14:paraId="4910A368" w14:textId="77777777" w:rsidR="00BF0455" w:rsidRDefault="00BF0455">
            <w:pPr>
              <w:spacing w:line="276" w:lineRule="auto"/>
              <w:jc w:val="center"/>
              <w:rPr>
                <w:color w:val="000000"/>
              </w:rPr>
            </w:pPr>
            <w:r>
              <w:rPr>
                <w:color w:val="000000"/>
              </w:rPr>
              <w:t xml:space="preserve">5.28 </w:t>
            </w:r>
          </w:p>
        </w:tc>
      </w:tr>
    </w:tbl>
    <w:p w14:paraId="30A88FC9" w14:textId="77777777" w:rsidR="001032B6" w:rsidRPr="006C516E" w:rsidRDefault="001032B6" w:rsidP="00BF0455">
      <w:r w:rsidRPr="006C516E">
        <w:t>CF = Compounding factor</w:t>
      </w:r>
      <w:r w:rsidR="00E113CA" w:rsidRPr="006C516E">
        <w:tab/>
      </w:r>
      <w:r w:rsidR="00E113CA" w:rsidRPr="006C516E">
        <w:tab/>
      </w:r>
      <w:r w:rsidRPr="006C516E">
        <w:t xml:space="preserve">NWAU = National Weighted Activity Unit </w:t>
      </w:r>
    </w:p>
    <w:p w14:paraId="4DA0DBE6" w14:textId="77777777" w:rsidR="001032B6" w:rsidRPr="006C516E" w:rsidRDefault="001032B6" w:rsidP="003A3029">
      <w:pPr>
        <w:rPr>
          <w:rFonts w:ascii="Arial" w:hAnsi="Arial" w:cs="Arial"/>
        </w:rPr>
      </w:pPr>
    </w:p>
    <w:p w14:paraId="2F20E424" w14:textId="77777777" w:rsidR="00B567FA" w:rsidRPr="006C516E" w:rsidRDefault="00B567FA" w:rsidP="003A3029">
      <w:pPr>
        <w:rPr>
          <w:rFonts w:ascii="Arial" w:hAnsi="Arial" w:cs="Arial"/>
          <w:b/>
          <w:sz w:val="28"/>
          <w:szCs w:val="28"/>
        </w:rPr>
      </w:pPr>
      <w:r w:rsidRPr="006C516E">
        <w:rPr>
          <w:rFonts w:ascii="Arial" w:hAnsi="Arial" w:cs="Arial"/>
          <w:b/>
          <w:sz w:val="28"/>
          <w:szCs w:val="28"/>
        </w:rPr>
        <w:lastRenderedPageBreak/>
        <w:t>Example</w:t>
      </w:r>
    </w:p>
    <w:p w14:paraId="1BDD0DE6" w14:textId="0AAECB93" w:rsidR="00B567FA" w:rsidRPr="006C516E" w:rsidRDefault="00F97AAE" w:rsidP="003A3029">
      <w:pPr>
        <w:rPr>
          <w:rFonts w:ascii="Arial" w:hAnsi="Arial" w:cs="Arial"/>
        </w:rPr>
      </w:pPr>
      <w:r>
        <w:rPr>
          <w:rFonts w:ascii="Arial" w:hAnsi="Arial" w:cs="Arial"/>
        </w:rPr>
        <w:br/>
      </w:r>
      <w:r w:rsidR="00D214EF" w:rsidRPr="006C516E">
        <w:rPr>
          <w:rFonts w:ascii="Arial" w:hAnsi="Arial" w:cs="Arial"/>
        </w:rPr>
        <w:t xml:space="preserve">An Indigenous facility </w:t>
      </w:r>
      <w:r w:rsidR="00B567FA" w:rsidRPr="006C516E">
        <w:rPr>
          <w:rFonts w:ascii="Arial" w:hAnsi="Arial" w:cs="Arial"/>
        </w:rPr>
        <w:t xml:space="preserve">in MMM7 with </w:t>
      </w:r>
      <w:r w:rsidR="00D214EF" w:rsidRPr="006C516E">
        <w:rPr>
          <w:rFonts w:ascii="Arial" w:hAnsi="Arial" w:cs="Arial"/>
        </w:rPr>
        <w:t xml:space="preserve">20 operational beds that was caring for ten residents assessed as being in </w:t>
      </w:r>
      <w:r w:rsidR="00B567FA" w:rsidRPr="006C516E">
        <w:rPr>
          <w:rFonts w:ascii="Arial" w:hAnsi="Arial" w:cs="Arial"/>
        </w:rPr>
        <w:t xml:space="preserve">Class 7 and </w:t>
      </w:r>
      <w:r w:rsidR="00D214EF" w:rsidRPr="006C516E">
        <w:rPr>
          <w:rFonts w:ascii="Arial" w:hAnsi="Arial" w:cs="Arial"/>
        </w:rPr>
        <w:t xml:space="preserve">five residents assessed as being in </w:t>
      </w:r>
      <w:r w:rsidR="00B567FA" w:rsidRPr="006C516E">
        <w:rPr>
          <w:rFonts w:ascii="Arial" w:hAnsi="Arial" w:cs="Arial"/>
        </w:rPr>
        <w:t xml:space="preserve">Class 10, </w:t>
      </w:r>
      <w:r w:rsidR="00D214EF" w:rsidRPr="006C516E">
        <w:rPr>
          <w:rFonts w:ascii="Arial" w:hAnsi="Arial" w:cs="Arial"/>
        </w:rPr>
        <w:t>would be paid as follows if the NWAU was set at $100 per day</w:t>
      </w:r>
      <w:r w:rsidR="00B567FA" w:rsidRPr="006C516E">
        <w:rPr>
          <w:rFonts w:ascii="Arial" w:hAnsi="Arial" w:cs="Arial"/>
        </w:rPr>
        <w:t>:</w:t>
      </w:r>
    </w:p>
    <w:p w14:paraId="0A6AFBB6" w14:textId="320AA144" w:rsidR="00B567FA" w:rsidRPr="006C516E" w:rsidRDefault="00B567FA" w:rsidP="003A3029">
      <w:pPr>
        <w:pStyle w:val="ListParagraph"/>
        <w:numPr>
          <w:ilvl w:val="0"/>
          <w:numId w:val="12"/>
        </w:numPr>
        <w:rPr>
          <w:rFonts w:ascii="Arial" w:hAnsi="Arial" w:cs="Arial"/>
        </w:rPr>
      </w:pPr>
      <w:r w:rsidRPr="006C516E">
        <w:rPr>
          <w:rFonts w:ascii="Arial" w:hAnsi="Arial" w:cs="Arial"/>
        </w:rPr>
        <w:t xml:space="preserve">Fixed component </w:t>
      </w:r>
      <w:r w:rsidR="00D214EF" w:rsidRPr="006C516E">
        <w:rPr>
          <w:rFonts w:ascii="Arial" w:hAnsi="Arial" w:cs="Arial"/>
        </w:rPr>
        <w:t xml:space="preserve">– </w:t>
      </w:r>
      <w:r w:rsidRPr="006C516E">
        <w:rPr>
          <w:rFonts w:ascii="Arial" w:hAnsi="Arial" w:cs="Arial"/>
        </w:rPr>
        <w:t xml:space="preserve">1.8 NWAU x </w:t>
      </w:r>
      <w:r w:rsidR="00F97AAE">
        <w:rPr>
          <w:rFonts w:ascii="Arial" w:hAnsi="Arial" w:cs="Arial"/>
        </w:rPr>
        <w:t xml:space="preserve">20 </w:t>
      </w:r>
      <w:r w:rsidR="00533484">
        <w:rPr>
          <w:rFonts w:ascii="Arial" w:hAnsi="Arial" w:cs="Arial"/>
        </w:rPr>
        <w:t xml:space="preserve">approved </w:t>
      </w:r>
      <w:r w:rsidR="00F97AAE">
        <w:rPr>
          <w:rFonts w:ascii="Arial" w:hAnsi="Arial" w:cs="Arial"/>
        </w:rPr>
        <w:t>beds</w:t>
      </w:r>
      <w:r w:rsidR="00F97AAE" w:rsidRPr="00F97AAE">
        <w:rPr>
          <w:rFonts w:ascii="Arial" w:hAnsi="Arial" w:cs="Arial"/>
          <w:vertAlign w:val="superscript"/>
        </w:rPr>
        <w:t>*</w:t>
      </w:r>
      <w:r w:rsidR="00F97AAE">
        <w:rPr>
          <w:rFonts w:ascii="Arial" w:hAnsi="Arial" w:cs="Arial"/>
        </w:rPr>
        <w:t xml:space="preserve"> x</w:t>
      </w:r>
      <w:r w:rsidR="00D214EF" w:rsidRPr="006C516E">
        <w:rPr>
          <w:rFonts w:ascii="Arial" w:hAnsi="Arial" w:cs="Arial"/>
        </w:rPr>
        <w:t xml:space="preserve"> </w:t>
      </w:r>
      <w:r w:rsidRPr="006C516E">
        <w:rPr>
          <w:rFonts w:ascii="Arial" w:hAnsi="Arial" w:cs="Arial"/>
        </w:rPr>
        <w:t>$100 per day = $</w:t>
      </w:r>
      <w:r w:rsidR="00D214EF" w:rsidRPr="006C516E">
        <w:rPr>
          <w:rFonts w:ascii="Arial" w:hAnsi="Arial" w:cs="Arial"/>
        </w:rPr>
        <w:t>3,600</w:t>
      </w:r>
      <w:r w:rsidRPr="006C516E">
        <w:rPr>
          <w:rFonts w:ascii="Arial" w:hAnsi="Arial" w:cs="Arial"/>
        </w:rPr>
        <w:t xml:space="preserve"> per day;  plus</w:t>
      </w:r>
    </w:p>
    <w:p w14:paraId="45472FB6" w14:textId="0ECE0823" w:rsidR="00B567FA" w:rsidRPr="006C516E" w:rsidRDefault="00B567FA" w:rsidP="003A3029">
      <w:pPr>
        <w:pStyle w:val="ListParagraph"/>
        <w:numPr>
          <w:ilvl w:val="0"/>
          <w:numId w:val="12"/>
        </w:numPr>
        <w:rPr>
          <w:rFonts w:ascii="Arial" w:hAnsi="Arial" w:cs="Arial"/>
        </w:rPr>
      </w:pPr>
      <w:r w:rsidRPr="006C516E">
        <w:rPr>
          <w:rFonts w:ascii="Arial" w:hAnsi="Arial" w:cs="Arial"/>
        </w:rPr>
        <w:t xml:space="preserve">Variable component </w:t>
      </w:r>
      <w:r w:rsidR="00D214EF" w:rsidRPr="006C516E">
        <w:rPr>
          <w:rFonts w:ascii="Arial" w:hAnsi="Arial" w:cs="Arial"/>
        </w:rPr>
        <w:t>– 0</w:t>
      </w:r>
      <w:r w:rsidRPr="006C516E">
        <w:rPr>
          <w:rFonts w:ascii="Arial" w:hAnsi="Arial" w:cs="Arial"/>
        </w:rPr>
        <w:t>.47</w:t>
      </w:r>
      <w:r w:rsidR="00D214EF" w:rsidRPr="006C516E">
        <w:rPr>
          <w:rFonts w:ascii="Arial" w:hAnsi="Arial" w:cs="Arial"/>
        </w:rPr>
        <w:t xml:space="preserve"> </w:t>
      </w:r>
      <w:r w:rsidRPr="006C516E">
        <w:rPr>
          <w:rFonts w:ascii="Arial" w:hAnsi="Arial" w:cs="Arial"/>
        </w:rPr>
        <w:t xml:space="preserve">NWAU </w:t>
      </w:r>
      <w:r w:rsidR="00D214EF" w:rsidRPr="006C516E">
        <w:rPr>
          <w:rFonts w:ascii="Arial" w:hAnsi="Arial" w:cs="Arial"/>
        </w:rPr>
        <w:t xml:space="preserve">x 10 </w:t>
      </w:r>
      <w:r w:rsidRPr="006C516E">
        <w:rPr>
          <w:rFonts w:ascii="Arial" w:hAnsi="Arial" w:cs="Arial"/>
        </w:rPr>
        <w:t xml:space="preserve">residents </w:t>
      </w:r>
      <w:r w:rsidR="00D214EF" w:rsidRPr="006C516E">
        <w:rPr>
          <w:rFonts w:ascii="Arial" w:hAnsi="Arial" w:cs="Arial"/>
        </w:rPr>
        <w:t xml:space="preserve">in Class 7 </w:t>
      </w:r>
      <w:r w:rsidRPr="006C516E">
        <w:rPr>
          <w:rFonts w:ascii="Arial" w:hAnsi="Arial" w:cs="Arial"/>
        </w:rPr>
        <w:t>x $100 = $47</w:t>
      </w:r>
      <w:r w:rsidR="00D214EF" w:rsidRPr="006C516E">
        <w:rPr>
          <w:rFonts w:ascii="Arial" w:hAnsi="Arial" w:cs="Arial"/>
        </w:rPr>
        <w:t>0</w:t>
      </w:r>
      <w:r w:rsidRPr="006C516E">
        <w:rPr>
          <w:rFonts w:ascii="Arial" w:hAnsi="Arial" w:cs="Arial"/>
        </w:rPr>
        <w:t xml:space="preserve"> per day; plus</w:t>
      </w:r>
    </w:p>
    <w:p w14:paraId="56FE349B" w14:textId="733073D6" w:rsidR="00D30B1C" w:rsidRPr="006C516E" w:rsidRDefault="00B567FA" w:rsidP="003A3029">
      <w:pPr>
        <w:pStyle w:val="ListParagraph"/>
        <w:numPr>
          <w:ilvl w:val="0"/>
          <w:numId w:val="12"/>
        </w:numPr>
        <w:rPr>
          <w:rFonts w:ascii="Arial" w:hAnsi="Arial" w:cs="Arial"/>
        </w:rPr>
      </w:pPr>
      <w:r w:rsidRPr="006C516E">
        <w:rPr>
          <w:rFonts w:ascii="Arial" w:hAnsi="Arial" w:cs="Arial"/>
        </w:rPr>
        <w:t xml:space="preserve">Variable component </w:t>
      </w:r>
      <w:r w:rsidR="00D214EF" w:rsidRPr="006C516E">
        <w:rPr>
          <w:rFonts w:ascii="Arial" w:hAnsi="Arial" w:cs="Arial"/>
        </w:rPr>
        <w:t xml:space="preserve">– 0.83 NWAU x 5 </w:t>
      </w:r>
      <w:r w:rsidRPr="006C516E">
        <w:rPr>
          <w:rFonts w:ascii="Arial" w:hAnsi="Arial" w:cs="Arial"/>
        </w:rPr>
        <w:t xml:space="preserve">residents </w:t>
      </w:r>
      <w:r w:rsidR="00D214EF" w:rsidRPr="006C516E">
        <w:rPr>
          <w:rFonts w:ascii="Arial" w:hAnsi="Arial" w:cs="Arial"/>
        </w:rPr>
        <w:t xml:space="preserve">in Class 10 </w:t>
      </w:r>
      <w:r w:rsidR="00DE23A3" w:rsidRPr="006C516E">
        <w:rPr>
          <w:rFonts w:ascii="Arial" w:hAnsi="Arial" w:cs="Arial"/>
        </w:rPr>
        <w:t xml:space="preserve">x </w:t>
      </w:r>
      <w:r w:rsidRPr="006C516E">
        <w:rPr>
          <w:rFonts w:ascii="Arial" w:hAnsi="Arial" w:cs="Arial"/>
        </w:rPr>
        <w:t>$100 = $</w:t>
      </w:r>
      <w:r w:rsidR="00DE23A3" w:rsidRPr="006C516E">
        <w:rPr>
          <w:rFonts w:ascii="Arial" w:hAnsi="Arial" w:cs="Arial"/>
        </w:rPr>
        <w:t>415</w:t>
      </w:r>
      <w:r w:rsidRPr="006C516E">
        <w:rPr>
          <w:rFonts w:ascii="Arial" w:hAnsi="Arial" w:cs="Arial"/>
        </w:rPr>
        <w:t xml:space="preserve"> per day</w:t>
      </w:r>
      <w:r w:rsidR="00D214EF" w:rsidRPr="006C516E">
        <w:rPr>
          <w:rFonts w:ascii="Arial" w:hAnsi="Arial" w:cs="Arial"/>
        </w:rPr>
        <w:t>;</w:t>
      </w:r>
      <w:r w:rsidRPr="006C516E">
        <w:rPr>
          <w:rFonts w:ascii="Arial" w:hAnsi="Arial" w:cs="Arial"/>
        </w:rPr>
        <w:t xml:space="preserve"> plus</w:t>
      </w:r>
    </w:p>
    <w:p w14:paraId="7134EFD4" w14:textId="0A3B74C9" w:rsidR="00B567FA" w:rsidRDefault="00526663" w:rsidP="003A3029">
      <w:pPr>
        <w:pStyle w:val="ListParagraph"/>
        <w:numPr>
          <w:ilvl w:val="0"/>
          <w:numId w:val="12"/>
        </w:numPr>
        <w:rPr>
          <w:rFonts w:ascii="Arial" w:hAnsi="Arial" w:cs="Arial"/>
        </w:rPr>
      </w:pPr>
      <w:r w:rsidRPr="006C516E">
        <w:rPr>
          <w:rFonts w:ascii="Arial" w:hAnsi="Arial" w:cs="Arial"/>
        </w:rPr>
        <w:t>One off adjustment payment of 5.28</w:t>
      </w:r>
      <w:r w:rsidR="00DE23A3" w:rsidRPr="006C516E">
        <w:rPr>
          <w:rFonts w:ascii="Arial" w:hAnsi="Arial" w:cs="Arial"/>
        </w:rPr>
        <w:t xml:space="preserve"> </w:t>
      </w:r>
      <w:r w:rsidRPr="006C516E">
        <w:rPr>
          <w:rFonts w:ascii="Arial" w:hAnsi="Arial" w:cs="Arial"/>
        </w:rPr>
        <w:t xml:space="preserve">NWAU x $100 = $528 </w:t>
      </w:r>
      <w:r w:rsidR="00DE23A3" w:rsidRPr="006C516E">
        <w:rPr>
          <w:rFonts w:ascii="Arial" w:hAnsi="Arial" w:cs="Arial"/>
        </w:rPr>
        <w:t>for each new resident that has entered care</w:t>
      </w:r>
      <w:r w:rsidR="00F356DF" w:rsidRPr="006C516E">
        <w:rPr>
          <w:rFonts w:ascii="Arial" w:hAnsi="Arial" w:cs="Arial"/>
        </w:rPr>
        <w:t xml:space="preserve"> for the first time.</w:t>
      </w:r>
    </w:p>
    <w:p w14:paraId="25FBF992" w14:textId="21C49513" w:rsidR="00F97AAE" w:rsidRDefault="00F97AAE" w:rsidP="00F97AAE"/>
    <w:p w14:paraId="0D97C236" w14:textId="594203C6" w:rsidR="00F97AAE" w:rsidRDefault="00F97AAE" w:rsidP="00533484">
      <w:pPr>
        <w:ind w:left="720" w:hanging="720"/>
      </w:pPr>
      <w:r>
        <w:t xml:space="preserve">* </w:t>
      </w:r>
      <w:r>
        <w:tab/>
        <w:t xml:space="preserve">Note that AHSRI proposes that the base care tariffs </w:t>
      </w:r>
      <w:r w:rsidR="00F100A0">
        <w:t xml:space="preserve">be paid </w:t>
      </w:r>
      <w:r w:rsidR="00F100A0" w:rsidRPr="00533484">
        <w:rPr>
          <w:b/>
        </w:rPr>
        <w:t>per occupied bed day</w:t>
      </w:r>
      <w:r w:rsidR="00F100A0">
        <w:t xml:space="preserve"> for non-remote facilities (Tariffs 5 and 6). </w:t>
      </w:r>
      <w:r w:rsidR="00533484">
        <w:t xml:space="preserve">Remote facilities (Tariffs 1 to 4) would be paid for each </w:t>
      </w:r>
      <w:r w:rsidR="00533484" w:rsidRPr="00533484">
        <w:rPr>
          <w:b/>
        </w:rPr>
        <w:t>approved bed day</w:t>
      </w:r>
      <w:r w:rsidR="00533484">
        <w:t>. In this example the facility attracts base care tariff 1, and hence is funded on the number of approved bed days (20) not the number of occupied bed days (15).</w:t>
      </w:r>
    </w:p>
    <w:p w14:paraId="5497BBA3" w14:textId="67CD5677" w:rsidR="00533484" w:rsidRDefault="00533484" w:rsidP="00533484">
      <w:pPr>
        <w:ind w:left="720" w:hanging="720"/>
      </w:pPr>
    </w:p>
    <w:p w14:paraId="0601536D" w14:textId="5621237E" w:rsidR="00533484" w:rsidRDefault="00533484" w:rsidP="00533484">
      <w:pPr>
        <w:rPr>
          <w:rFonts w:ascii="Arial" w:hAnsi="Arial" w:cs="Arial"/>
          <w:b/>
          <w:sz w:val="28"/>
          <w:szCs w:val="28"/>
        </w:rPr>
      </w:pPr>
      <w:r>
        <w:rPr>
          <w:rFonts w:ascii="Arial" w:hAnsi="Arial" w:cs="Arial"/>
          <w:b/>
          <w:sz w:val="28"/>
          <w:szCs w:val="28"/>
        </w:rPr>
        <w:t>Annual costing study to inform price</w:t>
      </w:r>
    </w:p>
    <w:p w14:paraId="505B86FE" w14:textId="5D2DC54A" w:rsidR="00533484" w:rsidRDefault="00533484" w:rsidP="00533484">
      <w:pPr>
        <w:rPr>
          <w:rFonts w:ascii="Arial" w:hAnsi="Arial" w:cs="Arial"/>
          <w:b/>
          <w:sz w:val="28"/>
          <w:szCs w:val="28"/>
        </w:rPr>
      </w:pPr>
    </w:p>
    <w:p w14:paraId="4F51DDB5" w14:textId="6217910C" w:rsidR="00C153A3" w:rsidRPr="006C516E" w:rsidRDefault="00C153A3" w:rsidP="00533484">
      <w:pPr>
        <w:rPr>
          <w:rFonts w:ascii="Arial" w:hAnsi="Arial" w:cs="Arial"/>
        </w:rPr>
      </w:pPr>
      <w:r w:rsidRPr="006C516E">
        <w:rPr>
          <w:rFonts w:ascii="Arial" w:hAnsi="Arial" w:cs="Arial"/>
        </w:rPr>
        <w:t xml:space="preserve">Under the proposed new funding model, the Government makes an annual determination about the price of an NWAU of 1.00. This price is standard across the fixed, variable and one-off adjustment payment. All prices in the funding model are then set relative to this annually determined </w:t>
      </w:r>
      <w:r w:rsidR="00A2501A" w:rsidRPr="006C516E">
        <w:rPr>
          <w:rFonts w:ascii="Arial" w:hAnsi="Arial" w:cs="Arial"/>
        </w:rPr>
        <w:t>price</w:t>
      </w:r>
      <w:r w:rsidRPr="006C516E">
        <w:rPr>
          <w:rFonts w:ascii="Arial" w:hAnsi="Arial" w:cs="Arial"/>
        </w:rPr>
        <w:t>.</w:t>
      </w:r>
    </w:p>
    <w:p w14:paraId="12B337A8" w14:textId="77777777" w:rsidR="00C153A3" w:rsidRPr="006C516E" w:rsidRDefault="00C153A3" w:rsidP="003A3029">
      <w:pPr>
        <w:rPr>
          <w:rFonts w:ascii="Arial" w:hAnsi="Arial" w:cs="Arial"/>
        </w:rPr>
      </w:pPr>
    </w:p>
    <w:p w14:paraId="0664A511" w14:textId="0973C57B" w:rsidR="0001697C" w:rsidRPr="006C516E" w:rsidRDefault="0001697C" w:rsidP="0001697C">
      <w:pPr>
        <w:rPr>
          <w:rFonts w:ascii="Arial" w:hAnsi="Arial" w:cs="Arial"/>
          <w:szCs w:val="22"/>
        </w:rPr>
      </w:pPr>
      <w:r w:rsidRPr="006C516E">
        <w:rPr>
          <w:rFonts w:ascii="Arial" w:hAnsi="Arial" w:cs="Arial"/>
        </w:rPr>
        <w:t>In its report AHSRI notes how in the national hospital funding model, this price is termed the National Efficient Price (NEP) and an annual costing study is undertaken which is used to inform the setting of the price in the following year.  They recommend a similar approach apply in residential aged care to help inform the setting of the</w:t>
      </w:r>
      <w:r w:rsidR="0037409F" w:rsidRPr="006C516E">
        <w:rPr>
          <w:rFonts w:ascii="Arial" w:hAnsi="Arial" w:cs="Arial"/>
        </w:rPr>
        <w:t xml:space="preserve"> price for an</w:t>
      </w:r>
      <w:r w:rsidRPr="006C516E">
        <w:rPr>
          <w:rFonts w:ascii="Arial" w:hAnsi="Arial" w:cs="Arial"/>
        </w:rPr>
        <w:t xml:space="preserve"> NWAU</w:t>
      </w:r>
      <w:r w:rsidR="0037409F" w:rsidRPr="006C516E">
        <w:rPr>
          <w:rFonts w:ascii="Arial" w:hAnsi="Arial" w:cs="Arial"/>
        </w:rPr>
        <w:t xml:space="preserve"> of 1.00</w:t>
      </w:r>
      <w:r w:rsidRPr="006C516E">
        <w:rPr>
          <w:rFonts w:ascii="Arial" w:hAnsi="Arial" w:cs="Arial"/>
        </w:rPr>
        <w:t>.  The Department or the Independent Hospital Pricing Authority (IHPA) could be tasked with undertaking or commissioning a national residential aged care costing study each year to help inform the price for the following year.</w:t>
      </w:r>
    </w:p>
    <w:p w14:paraId="5E1D3CA3" w14:textId="77777777" w:rsidR="0001697C" w:rsidRPr="006C516E" w:rsidRDefault="0001697C" w:rsidP="0001697C">
      <w:pPr>
        <w:rPr>
          <w:rFonts w:ascii="Arial" w:hAnsi="Arial" w:cs="Arial"/>
        </w:rPr>
      </w:pPr>
    </w:p>
    <w:p w14:paraId="4BCC60B1" w14:textId="77777777" w:rsidR="00C153A3" w:rsidRPr="006C516E" w:rsidRDefault="00C153A3" w:rsidP="003A3029">
      <w:pPr>
        <w:rPr>
          <w:rFonts w:ascii="Arial" w:hAnsi="Arial" w:cs="Arial"/>
        </w:rPr>
      </w:pPr>
    </w:p>
    <w:p w14:paraId="5E040EAB" w14:textId="77777777" w:rsidR="002D4E5D" w:rsidRPr="006C516E" w:rsidRDefault="00243D6C"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6C516E">
        <w:rPr>
          <w:rFonts w:ascii="Arial" w:hAnsi="Arial" w:cs="Arial"/>
          <w:b/>
        </w:rPr>
        <w:t>Questions</w:t>
      </w:r>
    </w:p>
    <w:p w14:paraId="664D37E7" w14:textId="3B5EEAEE" w:rsidR="00243D6C" w:rsidRPr="006C516E" w:rsidRDefault="00E056E1"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6C516E">
        <w:rPr>
          <w:rFonts w:ascii="Arial" w:hAnsi="Arial" w:cs="Arial"/>
        </w:rPr>
        <w:t>7</w:t>
      </w:r>
      <w:r w:rsidR="002D4E5D" w:rsidRPr="006C516E">
        <w:rPr>
          <w:rFonts w:ascii="Arial" w:hAnsi="Arial" w:cs="Arial"/>
        </w:rPr>
        <w:t xml:space="preserve">. </w:t>
      </w:r>
      <w:r w:rsidR="00243D6C" w:rsidRPr="006C516E">
        <w:rPr>
          <w:rFonts w:ascii="Arial" w:hAnsi="Arial" w:cs="Arial"/>
        </w:rPr>
        <w:t xml:space="preserve">What </w:t>
      </w:r>
      <w:r w:rsidR="0025107C" w:rsidRPr="006C516E">
        <w:rPr>
          <w:rFonts w:ascii="Arial" w:hAnsi="Arial" w:cs="Arial"/>
        </w:rPr>
        <w:t xml:space="preserve">are your views on </w:t>
      </w:r>
      <w:r w:rsidR="0001697C" w:rsidRPr="006C516E">
        <w:rPr>
          <w:rFonts w:ascii="Arial" w:hAnsi="Arial" w:cs="Arial"/>
        </w:rPr>
        <w:t xml:space="preserve">an annual costing study to inform </w:t>
      </w:r>
      <w:r w:rsidR="00243D6C" w:rsidRPr="006C516E">
        <w:rPr>
          <w:rFonts w:ascii="Arial" w:hAnsi="Arial" w:cs="Arial"/>
        </w:rPr>
        <w:t>price?</w:t>
      </w:r>
    </w:p>
    <w:p w14:paraId="4F7E3B87" w14:textId="77777777" w:rsidR="00243D6C" w:rsidRPr="006C516E" w:rsidRDefault="00243D6C" w:rsidP="003A3029">
      <w:pPr>
        <w:rPr>
          <w:rFonts w:ascii="Arial" w:hAnsi="Arial" w:cs="Arial"/>
        </w:rPr>
      </w:pPr>
    </w:p>
    <w:p w14:paraId="7AA6392B" w14:textId="77777777" w:rsidR="00E81512" w:rsidRPr="006C516E" w:rsidRDefault="00E81512" w:rsidP="003A3029">
      <w:pPr>
        <w:rPr>
          <w:rFonts w:ascii="Arial" w:hAnsi="Arial" w:cs="Arial"/>
          <w:b/>
        </w:rPr>
      </w:pPr>
      <w:r w:rsidRPr="006C516E">
        <w:rPr>
          <w:rFonts w:ascii="Arial" w:hAnsi="Arial" w:cs="Arial"/>
          <w:b/>
        </w:rPr>
        <w:br w:type="page"/>
      </w:r>
    </w:p>
    <w:p w14:paraId="55EC22C7" w14:textId="2FB166F2" w:rsidR="00E81512" w:rsidRPr="006C516E" w:rsidRDefault="00533484" w:rsidP="003A3029">
      <w:pPr>
        <w:pStyle w:val="Heading1"/>
      </w:pPr>
      <w:bookmarkStart w:id="14" w:name="_Toc3383720"/>
      <w:r>
        <w:lastRenderedPageBreak/>
        <w:t>Section 9</w:t>
      </w:r>
      <w:r w:rsidR="008A30A2" w:rsidRPr="006C516E">
        <w:t xml:space="preserve"> - </w:t>
      </w:r>
      <w:r w:rsidR="00E81512" w:rsidRPr="006C516E">
        <w:t>Other Supplements and Subsidies</w:t>
      </w:r>
      <w:bookmarkEnd w:id="14"/>
    </w:p>
    <w:p w14:paraId="5EFF0562" w14:textId="77777777" w:rsidR="00E81512" w:rsidRPr="006C516E" w:rsidRDefault="00E81512" w:rsidP="003A3029">
      <w:pPr>
        <w:rPr>
          <w:rFonts w:ascii="Arial" w:hAnsi="Arial" w:cs="Arial"/>
        </w:rPr>
      </w:pPr>
    </w:p>
    <w:p w14:paraId="787E5950" w14:textId="77777777" w:rsidR="00E81512" w:rsidRPr="006C516E" w:rsidRDefault="00C153A3" w:rsidP="003A3029">
      <w:pPr>
        <w:rPr>
          <w:rFonts w:ascii="Arial" w:hAnsi="Arial" w:cs="Arial"/>
        </w:rPr>
      </w:pPr>
      <w:r w:rsidRPr="006C516E">
        <w:rPr>
          <w:rFonts w:ascii="Arial" w:hAnsi="Arial" w:cs="Arial"/>
        </w:rPr>
        <w:t xml:space="preserve">The cost of care for people living in residential aged care was </w:t>
      </w:r>
      <w:r w:rsidR="00E81512" w:rsidRPr="006C516E">
        <w:rPr>
          <w:rFonts w:ascii="Arial" w:hAnsi="Arial" w:cs="Arial"/>
        </w:rPr>
        <w:t xml:space="preserve">the primary focus of </w:t>
      </w:r>
      <w:r w:rsidRPr="006C516E">
        <w:rPr>
          <w:rFonts w:ascii="Arial" w:hAnsi="Arial" w:cs="Arial"/>
        </w:rPr>
        <w:t>RUCS</w:t>
      </w:r>
      <w:r w:rsidR="00E81512" w:rsidRPr="006C516E">
        <w:rPr>
          <w:rFonts w:ascii="Arial" w:hAnsi="Arial" w:cs="Arial"/>
        </w:rPr>
        <w:t>, broadly aiming to fund the same care services as ACFI.</w:t>
      </w:r>
    </w:p>
    <w:p w14:paraId="223554AA" w14:textId="77777777" w:rsidR="00E81512" w:rsidRPr="006C516E" w:rsidRDefault="00E81512" w:rsidP="003A3029">
      <w:pPr>
        <w:rPr>
          <w:rFonts w:ascii="Arial" w:hAnsi="Arial" w:cs="Arial"/>
        </w:rPr>
      </w:pPr>
    </w:p>
    <w:p w14:paraId="72FDC84F" w14:textId="77777777" w:rsidR="00E81512" w:rsidRPr="006C516E" w:rsidRDefault="00E81512" w:rsidP="003A3029">
      <w:pPr>
        <w:rPr>
          <w:rFonts w:ascii="Arial" w:hAnsi="Arial" w:cs="Arial"/>
        </w:rPr>
      </w:pPr>
      <w:r w:rsidRPr="006C516E">
        <w:rPr>
          <w:rFonts w:ascii="Arial" w:hAnsi="Arial" w:cs="Arial"/>
        </w:rPr>
        <w:t>However, there are currently a range of other subsidies and supplements that are payable to residential care providers and how they interact with and are affected by the proposed new AN-ACC model needs to be considered.</w:t>
      </w:r>
    </w:p>
    <w:p w14:paraId="0CFA74A4" w14:textId="77777777" w:rsidR="00E81512" w:rsidRPr="006C516E" w:rsidRDefault="00E81512" w:rsidP="003A3029">
      <w:pPr>
        <w:rPr>
          <w:rFonts w:ascii="Arial" w:hAnsi="Arial" w:cs="Arial"/>
        </w:rPr>
      </w:pPr>
    </w:p>
    <w:p w14:paraId="7F596774" w14:textId="77777777" w:rsidR="00E81512" w:rsidRPr="006C516E" w:rsidRDefault="000C1CC5" w:rsidP="003A3029">
      <w:pPr>
        <w:rPr>
          <w:rFonts w:ascii="Arial" w:hAnsi="Arial" w:cs="Arial"/>
          <w:b/>
          <w:sz w:val="28"/>
          <w:szCs w:val="28"/>
        </w:rPr>
      </w:pPr>
      <w:r w:rsidRPr="006C516E">
        <w:rPr>
          <w:rFonts w:ascii="Arial" w:hAnsi="Arial" w:cs="Arial"/>
          <w:b/>
          <w:sz w:val="28"/>
          <w:szCs w:val="28"/>
        </w:rPr>
        <w:t>Via</w:t>
      </w:r>
      <w:r w:rsidR="00F9470B" w:rsidRPr="006C516E">
        <w:rPr>
          <w:rFonts w:ascii="Arial" w:hAnsi="Arial" w:cs="Arial"/>
          <w:b/>
          <w:sz w:val="28"/>
          <w:szCs w:val="28"/>
        </w:rPr>
        <w:t>bility</w:t>
      </w:r>
      <w:r w:rsidR="00603D02" w:rsidRPr="006C516E">
        <w:rPr>
          <w:rFonts w:ascii="Arial" w:hAnsi="Arial" w:cs="Arial"/>
          <w:b/>
          <w:sz w:val="28"/>
          <w:szCs w:val="28"/>
        </w:rPr>
        <w:t xml:space="preserve"> </w:t>
      </w:r>
      <w:r w:rsidR="00F9470B" w:rsidRPr="006C516E">
        <w:rPr>
          <w:rFonts w:ascii="Arial" w:hAnsi="Arial" w:cs="Arial"/>
          <w:b/>
          <w:sz w:val="28"/>
          <w:szCs w:val="28"/>
        </w:rPr>
        <w:t>Supplement</w:t>
      </w:r>
    </w:p>
    <w:p w14:paraId="23E2CFF8" w14:textId="77777777" w:rsidR="00F9470B" w:rsidRPr="006C516E" w:rsidRDefault="00F9470B" w:rsidP="003A3029">
      <w:pPr>
        <w:rPr>
          <w:rFonts w:ascii="Arial" w:hAnsi="Arial" w:cs="Arial"/>
        </w:rPr>
      </w:pPr>
    </w:p>
    <w:p w14:paraId="4F511643" w14:textId="137849FD" w:rsidR="00F9470B" w:rsidRPr="006C516E" w:rsidRDefault="00F9470B" w:rsidP="003A3029">
      <w:pPr>
        <w:rPr>
          <w:rFonts w:ascii="Arial" w:hAnsi="Arial" w:cs="Arial"/>
        </w:rPr>
      </w:pPr>
      <w:r w:rsidRPr="006C516E">
        <w:rPr>
          <w:rFonts w:ascii="Arial" w:hAnsi="Arial" w:cs="Arial"/>
        </w:rPr>
        <w:t>The viability supplement is currently paid to eligible services in rural and remote areas and to homeless and indigenous providers.  It is paid in general recognition of higher costs, which may apply in respect of both delivery of care as well as delivery</w:t>
      </w:r>
      <w:r w:rsidR="006405FE" w:rsidRPr="006C516E">
        <w:rPr>
          <w:rFonts w:ascii="Arial" w:hAnsi="Arial" w:cs="Arial"/>
        </w:rPr>
        <w:t xml:space="preserve"> of other ‘hotel type’ services</w:t>
      </w:r>
      <w:r w:rsidR="00381851" w:rsidRPr="006C516E">
        <w:rPr>
          <w:rFonts w:ascii="Arial" w:hAnsi="Arial" w:cs="Arial"/>
        </w:rPr>
        <w:t>, and recognises</w:t>
      </w:r>
      <w:r w:rsidRPr="006C516E">
        <w:rPr>
          <w:rFonts w:ascii="Arial" w:hAnsi="Arial" w:cs="Arial"/>
        </w:rPr>
        <w:t xml:space="preserve"> that ACFI does not specifically recognise these costs.</w:t>
      </w:r>
    </w:p>
    <w:p w14:paraId="74CFF8E1" w14:textId="77777777" w:rsidR="00F9470B" w:rsidRPr="006C516E" w:rsidRDefault="00F9470B" w:rsidP="003A3029">
      <w:pPr>
        <w:rPr>
          <w:rFonts w:ascii="Arial" w:hAnsi="Arial" w:cs="Arial"/>
        </w:rPr>
      </w:pPr>
    </w:p>
    <w:p w14:paraId="698BC932" w14:textId="07E84D64" w:rsidR="00BB2F6B" w:rsidRPr="006C516E" w:rsidRDefault="00F9470B" w:rsidP="003A3029">
      <w:pPr>
        <w:rPr>
          <w:rFonts w:ascii="Arial" w:hAnsi="Arial" w:cs="Arial"/>
        </w:rPr>
      </w:pPr>
      <w:r w:rsidRPr="006C516E">
        <w:rPr>
          <w:rFonts w:ascii="Arial" w:hAnsi="Arial" w:cs="Arial"/>
        </w:rPr>
        <w:t>To the extent there are higher care costs these should now be reflected in the higher fixed payment that would apply under AN-ACC to certain remote and homeless services</w:t>
      </w:r>
      <w:r w:rsidR="00BB2F6B" w:rsidRPr="006C516E">
        <w:rPr>
          <w:rFonts w:ascii="Arial" w:hAnsi="Arial" w:cs="Arial"/>
        </w:rPr>
        <w:t xml:space="preserve"> and hence, to that extent, that component of the Viability Supplement would no longer be needed</w:t>
      </w:r>
      <w:r w:rsidR="00243D6C" w:rsidRPr="006C516E">
        <w:rPr>
          <w:rFonts w:ascii="Arial" w:hAnsi="Arial" w:cs="Arial"/>
        </w:rPr>
        <w:t>.  However, the AN-ACC</w:t>
      </w:r>
      <w:r w:rsidRPr="006C516E">
        <w:rPr>
          <w:rFonts w:ascii="Arial" w:hAnsi="Arial" w:cs="Arial"/>
        </w:rPr>
        <w:t xml:space="preserve"> model as proposed does not specifically adjust for higher ‘hotel type’ costs that might also apply to facilities currently receiving the Viability Supplement.  </w:t>
      </w:r>
      <w:r w:rsidR="00BB2F6B" w:rsidRPr="006C516E">
        <w:rPr>
          <w:rFonts w:ascii="Arial" w:hAnsi="Arial" w:cs="Arial"/>
        </w:rPr>
        <w:t>The model</w:t>
      </w:r>
      <w:r w:rsidR="003424C3" w:rsidRPr="006C516E">
        <w:rPr>
          <w:rFonts w:ascii="Arial" w:hAnsi="Arial" w:cs="Arial"/>
        </w:rPr>
        <w:t xml:space="preserve"> proposed by AHSRI</w:t>
      </w:r>
      <w:r w:rsidR="00BB2F6B" w:rsidRPr="006C516E">
        <w:rPr>
          <w:rFonts w:ascii="Arial" w:hAnsi="Arial" w:cs="Arial"/>
        </w:rPr>
        <w:t xml:space="preserve"> would not make any additional payment to small facilities in MMM 4 and 5 locations who </w:t>
      </w:r>
      <w:r w:rsidR="003204C2" w:rsidRPr="006C516E">
        <w:rPr>
          <w:rFonts w:ascii="Arial" w:hAnsi="Arial" w:cs="Arial"/>
        </w:rPr>
        <w:t xml:space="preserve">may </w:t>
      </w:r>
      <w:r w:rsidR="00BB2F6B" w:rsidRPr="006C516E">
        <w:rPr>
          <w:rFonts w:ascii="Arial" w:hAnsi="Arial" w:cs="Arial"/>
        </w:rPr>
        <w:t>currently receive some viability suppleme</w:t>
      </w:r>
      <w:r w:rsidR="00DA1390" w:rsidRPr="006C516E">
        <w:rPr>
          <w:rFonts w:ascii="Arial" w:hAnsi="Arial" w:cs="Arial"/>
        </w:rPr>
        <w:t>n</w:t>
      </w:r>
      <w:r w:rsidR="00BB2F6B" w:rsidRPr="006C516E">
        <w:rPr>
          <w:rFonts w:ascii="Arial" w:hAnsi="Arial" w:cs="Arial"/>
        </w:rPr>
        <w:t xml:space="preserve">t.  </w:t>
      </w:r>
      <w:r w:rsidRPr="006C516E">
        <w:rPr>
          <w:rFonts w:ascii="Arial" w:hAnsi="Arial" w:cs="Arial"/>
        </w:rPr>
        <w:t xml:space="preserve">Options to address this could include building in some additional allowance for these costs into the AN-ACC model or maintaining in some form a </w:t>
      </w:r>
      <w:r w:rsidR="003424C3" w:rsidRPr="006C516E">
        <w:rPr>
          <w:rFonts w:ascii="Arial" w:hAnsi="Arial" w:cs="Arial"/>
        </w:rPr>
        <w:t>payment similar to the current viability s</w:t>
      </w:r>
      <w:r w:rsidRPr="006C516E">
        <w:rPr>
          <w:rFonts w:ascii="Arial" w:hAnsi="Arial" w:cs="Arial"/>
        </w:rPr>
        <w:t>upplement (but adjusted in recognition that the higher care costs would now already be factored into the AN-ACC model).</w:t>
      </w:r>
    </w:p>
    <w:p w14:paraId="7F9EB4D4" w14:textId="4F721EC8" w:rsidR="003424C3" w:rsidRPr="006C516E" w:rsidRDefault="003424C3" w:rsidP="003A3029">
      <w:pPr>
        <w:rPr>
          <w:rFonts w:ascii="Arial" w:hAnsi="Arial" w:cs="Arial"/>
        </w:rPr>
      </w:pPr>
    </w:p>
    <w:p w14:paraId="6813CAA1" w14:textId="43F18096" w:rsidR="003424C3" w:rsidRPr="006C516E" w:rsidRDefault="003424C3" w:rsidP="003A3029">
      <w:pPr>
        <w:rPr>
          <w:rFonts w:ascii="Arial" w:hAnsi="Arial" w:cs="Arial"/>
        </w:rPr>
      </w:pPr>
      <w:r w:rsidRPr="006C516E">
        <w:rPr>
          <w:rFonts w:ascii="Arial" w:hAnsi="Arial" w:cs="Arial"/>
        </w:rPr>
        <w:t xml:space="preserve">The Department has commissioned an additional study on the costs of facilities in MMM regions 3 to 5, to report by 30 June 2019, which will assist in developing options for the viability supplement. </w:t>
      </w:r>
    </w:p>
    <w:p w14:paraId="32B26DF0" w14:textId="77777777" w:rsidR="00BB2F6B" w:rsidRPr="006C516E" w:rsidRDefault="00BB2F6B" w:rsidP="003A3029">
      <w:pPr>
        <w:rPr>
          <w:rFonts w:ascii="Arial" w:hAnsi="Arial" w:cs="Arial"/>
        </w:rPr>
      </w:pPr>
    </w:p>
    <w:p w14:paraId="023063D0" w14:textId="7E70AF62" w:rsidR="00BB2F6B" w:rsidRPr="006C516E" w:rsidRDefault="00BB2F6B" w:rsidP="003A3029">
      <w:pPr>
        <w:rPr>
          <w:rFonts w:ascii="Arial" w:hAnsi="Arial" w:cs="Arial"/>
        </w:rPr>
      </w:pPr>
      <w:r w:rsidRPr="006C516E">
        <w:rPr>
          <w:rFonts w:ascii="Arial" w:hAnsi="Arial" w:cs="Arial"/>
        </w:rPr>
        <w:t>There are also currently a number of grand-parented versions of the Viability Supplement</w:t>
      </w:r>
      <w:r w:rsidR="002D4E5D" w:rsidRPr="006C516E">
        <w:rPr>
          <w:rFonts w:ascii="Arial" w:hAnsi="Arial" w:cs="Arial"/>
        </w:rPr>
        <w:t>. There would be benefit</w:t>
      </w:r>
      <w:r w:rsidRPr="006C516E">
        <w:rPr>
          <w:rFonts w:ascii="Arial" w:hAnsi="Arial" w:cs="Arial"/>
        </w:rPr>
        <w:t xml:space="preserve"> in moving to one new model in the future.</w:t>
      </w:r>
    </w:p>
    <w:p w14:paraId="1571CAF4" w14:textId="77777777" w:rsidR="000C1CC5" w:rsidRPr="006C516E" w:rsidRDefault="000C1CC5" w:rsidP="003A3029">
      <w:pPr>
        <w:rPr>
          <w:rFonts w:ascii="Arial" w:hAnsi="Arial" w:cs="Arial"/>
          <w:b/>
          <w:sz w:val="28"/>
          <w:szCs w:val="28"/>
        </w:rPr>
      </w:pPr>
    </w:p>
    <w:p w14:paraId="4983A272" w14:textId="77777777" w:rsidR="00F9470B" w:rsidRPr="006C516E" w:rsidRDefault="00F9470B" w:rsidP="003A3029">
      <w:pPr>
        <w:rPr>
          <w:rFonts w:ascii="Arial" w:hAnsi="Arial" w:cs="Arial"/>
          <w:b/>
          <w:sz w:val="28"/>
          <w:szCs w:val="28"/>
        </w:rPr>
      </w:pPr>
      <w:r w:rsidRPr="006C516E">
        <w:rPr>
          <w:rFonts w:ascii="Arial" w:hAnsi="Arial" w:cs="Arial"/>
          <w:b/>
          <w:sz w:val="28"/>
          <w:szCs w:val="28"/>
        </w:rPr>
        <w:t>Homeless</w:t>
      </w:r>
      <w:r w:rsidR="00603D02" w:rsidRPr="006C516E">
        <w:rPr>
          <w:rFonts w:ascii="Arial" w:hAnsi="Arial" w:cs="Arial"/>
          <w:b/>
          <w:sz w:val="28"/>
          <w:szCs w:val="28"/>
        </w:rPr>
        <w:t xml:space="preserve"> </w:t>
      </w:r>
      <w:r w:rsidRPr="006C516E">
        <w:rPr>
          <w:rFonts w:ascii="Arial" w:hAnsi="Arial" w:cs="Arial"/>
          <w:b/>
          <w:sz w:val="28"/>
          <w:szCs w:val="28"/>
        </w:rPr>
        <w:t>Supplement</w:t>
      </w:r>
    </w:p>
    <w:p w14:paraId="59FBDBE9" w14:textId="77777777" w:rsidR="00F9470B" w:rsidRPr="006C516E" w:rsidRDefault="00F9470B" w:rsidP="003A3029">
      <w:pPr>
        <w:rPr>
          <w:rFonts w:ascii="Arial" w:hAnsi="Arial" w:cs="Arial"/>
        </w:rPr>
      </w:pPr>
    </w:p>
    <w:p w14:paraId="2E305416" w14:textId="0A79E68E" w:rsidR="00F9470B" w:rsidRPr="006C516E" w:rsidRDefault="00CD5F93" w:rsidP="003A3029">
      <w:pPr>
        <w:rPr>
          <w:rFonts w:ascii="Arial" w:hAnsi="Arial" w:cs="Arial"/>
        </w:rPr>
      </w:pPr>
      <w:r w:rsidRPr="006C516E">
        <w:rPr>
          <w:rFonts w:ascii="Arial" w:hAnsi="Arial" w:cs="Arial"/>
        </w:rPr>
        <w:t xml:space="preserve">The AN-ACC model proposes a higher fixed payment for homeless services.  In light of this </w:t>
      </w:r>
      <w:r w:rsidR="00BC2BD5" w:rsidRPr="006C516E">
        <w:rPr>
          <w:rFonts w:ascii="Arial" w:hAnsi="Arial" w:cs="Arial"/>
        </w:rPr>
        <w:t xml:space="preserve">AHSRI </w:t>
      </w:r>
      <w:r w:rsidRPr="006C516E">
        <w:rPr>
          <w:rFonts w:ascii="Arial" w:hAnsi="Arial" w:cs="Arial"/>
        </w:rPr>
        <w:t>proposes the existing homeless supplement would be discontinued.  Homeless providers also receive the Viability Supplement.  To the extent the new model provides sufficient adjustment for homeless providers the need for an additional viability supplement component could also be discontinued.</w:t>
      </w:r>
      <w:r w:rsidR="002D4E5D" w:rsidRPr="006C516E">
        <w:rPr>
          <w:rFonts w:ascii="Arial" w:hAnsi="Arial" w:cs="Arial"/>
        </w:rPr>
        <w:t xml:space="preserve"> This is a matter that would require careful consideration to ensure additional costs and challenges these providers face are fully addressed. </w:t>
      </w:r>
    </w:p>
    <w:p w14:paraId="0F168CB0" w14:textId="4F1C2144" w:rsidR="00CD5F93" w:rsidRDefault="00CD5F93" w:rsidP="003A3029">
      <w:pPr>
        <w:rPr>
          <w:rFonts w:ascii="Arial" w:hAnsi="Arial" w:cs="Arial"/>
        </w:rPr>
      </w:pPr>
    </w:p>
    <w:p w14:paraId="3EB29486" w14:textId="77777777" w:rsidR="00EF1D1E" w:rsidRDefault="00EF1D1E">
      <w:pPr>
        <w:rPr>
          <w:rFonts w:ascii="Arial" w:hAnsi="Arial" w:cs="Arial"/>
        </w:rPr>
      </w:pPr>
      <w:r>
        <w:rPr>
          <w:rFonts w:ascii="Arial" w:hAnsi="Arial" w:cs="Arial"/>
        </w:rPr>
        <w:br w:type="page"/>
      </w:r>
    </w:p>
    <w:p w14:paraId="6F1FF45B" w14:textId="562E063F" w:rsidR="00CD5F93" w:rsidRPr="006C516E" w:rsidRDefault="00CD5F93" w:rsidP="003A3029">
      <w:pPr>
        <w:rPr>
          <w:rFonts w:ascii="Arial" w:hAnsi="Arial" w:cs="Arial"/>
          <w:b/>
        </w:rPr>
      </w:pPr>
      <w:r w:rsidRPr="006C516E">
        <w:rPr>
          <w:rFonts w:ascii="Arial" w:hAnsi="Arial" w:cs="Arial"/>
          <w:b/>
        </w:rPr>
        <w:lastRenderedPageBreak/>
        <w:t>Resident Classification System</w:t>
      </w:r>
      <w:r w:rsidR="000C1CC5" w:rsidRPr="006C516E">
        <w:rPr>
          <w:rFonts w:ascii="Arial" w:hAnsi="Arial" w:cs="Arial"/>
          <w:b/>
        </w:rPr>
        <w:t xml:space="preserve"> (RCS)</w:t>
      </w:r>
      <w:r w:rsidRPr="006C516E">
        <w:rPr>
          <w:rFonts w:ascii="Arial" w:hAnsi="Arial" w:cs="Arial"/>
          <w:b/>
        </w:rPr>
        <w:t xml:space="preserve"> payments</w:t>
      </w:r>
    </w:p>
    <w:p w14:paraId="37EE3EA5" w14:textId="77777777" w:rsidR="00CD5F93" w:rsidRPr="006C516E" w:rsidRDefault="00CD5F93" w:rsidP="003A3029">
      <w:pPr>
        <w:rPr>
          <w:rFonts w:ascii="Arial" w:hAnsi="Arial" w:cs="Arial"/>
        </w:rPr>
      </w:pPr>
    </w:p>
    <w:p w14:paraId="49E615E2" w14:textId="77777777" w:rsidR="00CD5F93" w:rsidRPr="006C516E" w:rsidRDefault="00CD5F93" w:rsidP="003A3029">
      <w:pPr>
        <w:rPr>
          <w:rFonts w:ascii="Arial" w:hAnsi="Arial" w:cs="Arial"/>
        </w:rPr>
      </w:pPr>
      <w:r w:rsidRPr="006C516E">
        <w:rPr>
          <w:rFonts w:ascii="Arial" w:hAnsi="Arial" w:cs="Arial"/>
        </w:rPr>
        <w:t>Some residents are still paid under the precursor to ACFI, the RCS.  These payments woul</w:t>
      </w:r>
      <w:r w:rsidR="00BC2BD5" w:rsidRPr="006C516E">
        <w:rPr>
          <w:rFonts w:ascii="Arial" w:hAnsi="Arial" w:cs="Arial"/>
        </w:rPr>
        <w:t>d be transitioned out under AHSRI’s</w:t>
      </w:r>
      <w:r w:rsidRPr="006C516E">
        <w:rPr>
          <w:rFonts w:ascii="Arial" w:hAnsi="Arial" w:cs="Arial"/>
        </w:rPr>
        <w:t xml:space="preserve"> proposal.</w:t>
      </w:r>
      <w:r w:rsidR="00C153A3" w:rsidRPr="006C516E">
        <w:rPr>
          <w:rFonts w:ascii="Arial" w:hAnsi="Arial" w:cs="Arial"/>
        </w:rPr>
        <w:t xml:space="preserve"> </w:t>
      </w:r>
    </w:p>
    <w:p w14:paraId="1AE2660E" w14:textId="77777777" w:rsidR="00CD5F93" w:rsidRPr="006C516E" w:rsidRDefault="00CD5F93" w:rsidP="003A3029">
      <w:pPr>
        <w:rPr>
          <w:rFonts w:ascii="Arial" w:hAnsi="Arial" w:cs="Arial"/>
        </w:rPr>
      </w:pPr>
    </w:p>
    <w:p w14:paraId="7A71F096" w14:textId="77777777" w:rsidR="00CD5F93" w:rsidRPr="006C516E" w:rsidRDefault="00CD5F93" w:rsidP="003A3029">
      <w:pPr>
        <w:rPr>
          <w:rFonts w:ascii="Arial" w:hAnsi="Arial" w:cs="Arial"/>
          <w:b/>
          <w:sz w:val="28"/>
          <w:szCs w:val="28"/>
        </w:rPr>
      </w:pPr>
      <w:r w:rsidRPr="006C516E">
        <w:rPr>
          <w:rFonts w:ascii="Arial" w:hAnsi="Arial" w:cs="Arial"/>
          <w:b/>
          <w:sz w:val="28"/>
          <w:szCs w:val="28"/>
        </w:rPr>
        <w:t>Accommodation</w:t>
      </w:r>
      <w:r w:rsidR="00603D02" w:rsidRPr="006C516E">
        <w:rPr>
          <w:rFonts w:ascii="Arial" w:hAnsi="Arial" w:cs="Arial"/>
          <w:b/>
          <w:sz w:val="28"/>
          <w:szCs w:val="28"/>
        </w:rPr>
        <w:t xml:space="preserve"> </w:t>
      </w:r>
      <w:r w:rsidRPr="006C516E">
        <w:rPr>
          <w:rFonts w:ascii="Arial" w:hAnsi="Arial" w:cs="Arial"/>
          <w:b/>
          <w:sz w:val="28"/>
          <w:szCs w:val="28"/>
        </w:rPr>
        <w:t>supplements</w:t>
      </w:r>
    </w:p>
    <w:p w14:paraId="0027B1F7" w14:textId="77777777" w:rsidR="00CD5F93" w:rsidRPr="006C516E" w:rsidRDefault="00CD5F93" w:rsidP="003A3029">
      <w:pPr>
        <w:rPr>
          <w:rFonts w:ascii="Arial" w:hAnsi="Arial" w:cs="Arial"/>
        </w:rPr>
      </w:pPr>
    </w:p>
    <w:p w14:paraId="0DE313CB" w14:textId="77777777" w:rsidR="00CD5F93" w:rsidRPr="006C516E" w:rsidRDefault="00CD5F93" w:rsidP="003A3029">
      <w:pPr>
        <w:rPr>
          <w:rFonts w:ascii="Arial" w:hAnsi="Arial" w:cs="Arial"/>
        </w:rPr>
      </w:pPr>
      <w:r w:rsidRPr="006C516E">
        <w:rPr>
          <w:rFonts w:ascii="Arial" w:hAnsi="Arial" w:cs="Arial"/>
        </w:rPr>
        <w:t>Accommodation costs were not part of the RUCS study.  No changes to accommodation supplements are proposed.</w:t>
      </w:r>
    </w:p>
    <w:p w14:paraId="5B7B1C07" w14:textId="77777777" w:rsidR="00CD5F93" w:rsidRPr="006C516E" w:rsidRDefault="00CD5F93" w:rsidP="003A3029">
      <w:pPr>
        <w:rPr>
          <w:rFonts w:ascii="Arial" w:hAnsi="Arial" w:cs="Arial"/>
          <w:b/>
          <w:sz w:val="28"/>
          <w:szCs w:val="28"/>
        </w:rPr>
      </w:pPr>
    </w:p>
    <w:p w14:paraId="1CEF131D" w14:textId="77777777" w:rsidR="00CD5F93" w:rsidRPr="006C516E" w:rsidRDefault="00CD5F93" w:rsidP="003A3029">
      <w:pPr>
        <w:rPr>
          <w:rFonts w:ascii="Arial" w:hAnsi="Arial" w:cs="Arial"/>
          <w:b/>
          <w:sz w:val="28"/>
          <w:szCs w:val="28"/>
        </w:rPr>
      </w:pPr>
      <w:r w:rsidRPr="006C516E">
        <w:rPr>
          <w:rFonts w:ascii="Arial" w:hAnsi="Arial" w:cs="Arial"/>
          <w:b/>
          <w:sz w:val="28"/>
          <w:szCs w:val="28"/>
        </w:rPr>
        <w:t>Other</w:t>
      </w:r>
      <w:r w:rsidR="00603D02" w:rsidRPr="006C516E">
        <w:rPr>
          <w:rFonts w:ascii="Arial" w:hAnsi="Arial" w:cs="Arial"/>
          <w:b/>
          <w:sz w:val="28"/>
          <w:szCs w:val="28"/>
        </w:rPr>
        <w:t xml:space="preserve"> </w:t>
      </w:r>
      <w:r w:rsidR="00854F3C" w:rsidRPr="006C516E">
        <w:rPr>
          <w:rFonts w:ascii="Arial" w:hAnsi="Arial" w:cs="Arial"/>
          <w:b/>
          <w:sz w:val="28"/>
          <w:szCs w:val="28"/>
        </w:rPr>
        <w:t xml:space="preserve">subsidies and </w:t>
      </w:r>
      <w:r w:rsidRPr="006C516E">
        <w:rPr>
          <w:rFonts w:ascii="Arial" w:hAnsi="Arial" w:cs="Arial"/>
          <w:b/>
          <w:sz w:val="28"/>
          <w:szCs w:val="28"/>
        </w:rPr>
        <w:t>supplements</w:t>
      </w:r>
    </w:p>
    <w:p w14:paraId="1ABD1209" w14:textId="77777777" w:rsidR="00CD5F93" w:rsidRPr="006C516E" w:rsidRDefault="00CD5F93" w:rsidP="003A3029">
      <w:pPr>
        <w:rPr>
          <w:rFonts w:ascii="Arial" w:hAnsi="Arial" w:cs="Arial"/>
        </w:rPr>
      </w:pPr>
    </w:p>
    <w:p w14:paraId="62699638" w14:textId="77777777" w:rsidR="00456ECA" w:rsidRPr="006C516E" w:rsidRDefault="00BC2BD5" w:rsidP="003A3029">
      <w:pPr>
        <w:rPr>
          <w:rFonts w:ascii="Arial" w:hAnsi="Arial" w:cs="Arial"/>
        </w:rPr>
      </w:pPr>
      <w:r w:rsidRPr="006C516E">
        <w:rPr>
          <w:rFonts w:ascii="Arial" w:hAnsi="Arial" w:cs="Arial"/>
        </w:rPr>
        <w:t>AHSRI</w:t>
      </w:r>
      <w:r w:rsidR="00854F3C" w:rsidRPr="006C516E">
        <w:rPr>
          <w:rFonts w:ascii="Arial" w:hAnsi="Arial" w:cs="Arial"/>
        </w:rPr>
        <w:t xml:space="preserve"> recommends that t</w:t>
      </w:r>
      <w:r w:rsidR="00456ECA" w:rsidRPr="006C516E">
        <w:rPr>
          <w:rFonts w:ascii="Arial" w:hAnsi="Arial" w:cs="Arial"/>
        </w:rPr>
        <w:t>he daily residential respite subsidy, oxygen supplement, enteral feeding supplement and veterans supplement b</w:t>
      </w:r>
      <w:r w:rsidR="00854F3C" w:rsidRPr="006C516E">
        <w:rPr>
          <w:rFonts w:ascii="Arial" w:hAnsi="Arial" w:cs="Arial"/>
        </w:rPr>
        <w:t>e</w:t>
      </w:r>
      <w:r w:rsidR="00456ECA" w:rsidRPr="006C516E">
        <w:rPr>
          <w:rFonts w:ascii="Arial" w:hAnsi="Arial" w:cs="Arial"/>
        </w:rPr>
        <w:t xml:space="preserve"> the subject of supplementary studies </w:t>
      </w:r>
      <w:r w:rsidR="00854F3C" w:rsidRPr="006C516E">
        <w:rPr>
          <w:rFonts w:ascii="Arial" w:hAnsi="Arial" w:cs="Arial"/>
        </w:rPr>
        <w:t xml:space="preserve">similar to RUCS </w:t>
      </w:r>
      <w:r w:rsidR="00456ECA" w:rsidRPr="006C516E">
        <w:rPr>
          <w:rFonts w:ascii="Arial" w:hAnsi="Arial" w:cs="Arial"/>
        </w:rPr>
        <w:t xml:space="preserve">with current recipients grandfathered until the results </w:t>
      </w:r>
      <w:r w:rsidR="00854F3C" w:rsidRPr="006C516E">
        <w:rPr>
          <w:rFonts w:ascii="Arial" w:hAnsi="Arial" w:cs="Arial"/>
        </w:rPr>
        <w:t xml:space="preserve">of such studies </w:t>
      </w:r>
      <w:r w:rsidR="00456ECA" w:rsidRPr="006C516E">
        <w:rPr>
          <w:rFonts w:ascii="Arial" w:hAnsi="Arial" w:cs="Arial"/>
        </w:rPr>
        <w:t xml:space="preserve">are available. </w:t>
      </w:r>
    </w:p>
    <w:p w14:paraId="07B4CFF8" w14:textId="77777777" w:rsidR="00456ECA" w:rsidRPr="006C516E" w:rsidRDefault="00456ECA" w:rsidP="003A3029">
      <w:pPr>
        <w:rPr>
          <w:rFonts w:ascii="Arial" w:hAnsi="Arial" w:cs="Arial"/>
        </w:rPr>
      </w:pPr>
    </w:p>
    <w:p w14:paraId="5454831B" w14:textId="77777777" w:rsidR="00243D6C" w:rsidRPr="006C516E" w:rsidRDefault="00243D6C"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6C516E">
        <w:rPr>
          <w:rFonts w:ascii="Arial" w:hAnsi="Arial" w:cs="Arial"/>
          <w:b/>
        </w:rPr>
        <w:t>Questions</w:t>
      </w:r>
    </w:p>
    <w:p w14:paraId="4C1929CD" w14:textId="666B9E37" w:rsidR="00243D6C" w:rsidRPr="006C516E" w:rsidRDefault="00533484"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Pr>
          <w:rFonts w:ascii="Arial" w:hAnsi="Arial" w:cs="Arial"/>
        </w:rPr>
        <w:t>8</w:t>
      </w:r>
      <w:r w:rsidR="00243D6C" w:rsidRPr="006C516E">
        <w:rPr>
          <w:rFonts w:ascii="Arial" w:hAnsi="Arial" w:cs="Arial"/>
        </w:rPr>
        <w:t>. W</w:t>
      </w:r>
      <w:r w:rsidR="00DA1390" w:rsidRPr="006C516E">
        <w:rPr>
          <w:rFonts w:ascii="Arial" w:hAnsi="Arial" w:cs="Arial"/>
        </w:rPr>
        <w:t xml:space="preserve">hat are the risks and </w:t>
      </w:r>
      <w:r w:rsidR="00243D6C" w:rsidRPr="006C516E">
        <w:rPr>
          <w:rFonts w:ascii="Arial" w:hAnsi="Arial" w:cs="Arial"/>
        </w:rPr>
        <w:t xml:space="preserve">benefits of </w:t>
      </w:r>
      <w:r w:rsidR="00DA1390" w:rsidRPr="006C516E">
        <w:rPr>
          <w:rFonts w:ascii="Arial" w:hAnsi="Arial" w:cs="Arial"/>
        </w:rPr>
        <w:t>rolling viability supplement into the fixed payment NWAUs</w:t>
      </w:r>
      <w:r w:rsidR="00243D6C" w:rsidRPr="006C516E">
        <w:rPr>
          <w:rFonts w:ascii="Arial" w:hAnsi="Arial" w:cs="Arial"/>
        </w:rPr>
        <w:t>?</w:t>
      </w:r>
    </w:p>
    <w:p w14:paraId="1BD15DBB" w14:textId="34421B3D" w:rsidR="00DA1390" w:rsidRPr="006C516E" w:rsidRDefault="00533484"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Pr>
          <w:rFonts w:ascii="Arial" w:hAnsi="Arial" w:cs="Arial"/>
        </w:rPr>
        <w:t>9</w:t>
      </w:r>
      <w:r w:rsidR="00DA1390" w:rsidRPr="006C516E">
        <w:rPr>
          <w:rFonts w:ascii="Arial" w:hAnsi="Arial" w:cs="Arial"/>
        </w:rPr>
        <w:t>. What are the risks and benefits of rolling homeless supplement into the fixed payment NWAUs?</w:t>
      </w:r>
    </w:p>
    <w:p w14:paraId="29D31710" w14:textId="77777777" w:rsidR="00DA1390" w:rsidRPr="006C516E" w:rsidRDefault="00DA1390"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p>
    <w:p w14:paraId="0FC87624" w14:textId="77777777" w:rsidR="00243D6C" w:rsidRPr="006C516E" w:rsidRDefault="00243D6C" w:rsidP="003A3029">
      <w:pPr>
        <w:rPr>
          <w:rFonts w:ascii="Arial" w:hAnsi="Arial" w:cs="Arial"/>
        </w:rPr>
      </w:pPr>
    </w:p>
    <w:p w14:paraId="3E9B069B" w14:textId="77777777" w:rsidR="00F40B0E" w:rsidRPr="006C516E" w:rsidRDefault="00F40B0E" w:rsidP="003A3029">
      <w:pPr>
        <w:rPr>
          <w:rFonts w:ascii="Arial" w:hAnsi="Arial" w:cs="Arial"/>
          <w:b/>
          <w:bCs/>
          <w:i/>
          <w:iCs/>
          <w:szCs w:val="28"/>
        </w:rPr>
      </w:pPr>
      <w:r w:rsidRPr="006C516E">
        <w:rPr>
          <w:rFonts w:ascii="Arial" w:hAnsi="Arial" w:cs="Arial"/>
        </w:rPr>
        <w:br w:type="page"/>
      </w:r>
    </w:p>
    <w:p w14:paraId="5C5933E9" w14:textId="1A700FA5" w:rsidR="00F40B0E" w:rsidRPr="006C516E" w:rsidRDefault="00533484" w:rsidP="003A3029">
      <w:pPr>
        <w:pStyle w:val="Heading1"/>
      </w:pPr>
      <w:bookmarkStart w:id="15" w:name="_Toc3383721"/>
      <w:r>
        <w:lastRenderedPageBreak/>
        <w:t>Section 10</w:t>
      </w:r>
      <w:r w:rsidR="008A30A2" w:rsidRPr="006C516E">
        <w:t xml:space="preserve"> – </w:t>
      </w:r>
      <w:r w:rsidR="00F40B0E" w:rsidRPr="006C516E">
        <w:t>Implementation and Transition Issues</w:t>
      </w:r>
      <w:bookmarkEnd w:id="15"/>
    </w:p>
    <w:p w14:paraId="6529560C" w14:textId="77777777" w:rsidR="00F40B0E" w:rsidRPr="006C516E" w:rsidRDefault="00F40B0E" w:rsidP="003A3029">
      <w:pPr>
        <w:pStyle w:val="Heading2"/>
      </w:pPr>
    </w:p>
    <w:p w14:paraId="7DD6F37B" w14:textId="77777777" w:rsidR="00F40B0E" w:rsidRPr="006C516E" w:rsidRDefault="00F40B0E" w:rsidP="003A3029">
      <w:pPr>
        <w:rPr>
          <w:rFonts w:ascii="Arial" w:hAnsi="Arial" w:cs="Arial"/>
          <w:b/>
          <w:sz w:val="28"/>
          <w:szCs w:val="28"/>
        </w:rPr>
      </w:pPr>
      <w:r w:rsidRPr="006C516E">
        <w:rPr>
          <w:rFonts w:ascii="Arial" w:hAnsi="Arial" w:cs="Arial"/>
          <w:b/>
          <w:sz w:val="28"/>
          <w:szCs w:val="28"/>
        </w:rPr>
        <w:t>Transition</w:t>
      </w:r>
      <w:r w:rsidR="00603D02" w:rsidRPr="006C516E">
        <w:rPr>
          <w:rFonts w:ascii="Arial" w:hAnsi="Arial" w:cs="Arial"/>
          <w:b/>
          <w:sz w:val="28"/>
          <w:szCs w:val="28"/>
        </w:rPr>
        <w:t xml:space="preserve"> o</w:t>
      </w:r>
      <w:r w:rsidRPr="006C516E">
        <w:rPr>
          <w:rFonts w:ascii="Arial" w:hAnsi="Arial" w:cs="Arial"/>
          <w:b/>
          <w:sz w:val="28"/>
          <w:szCs w:val="28"/>
        </w:rPr>
        <w:t>ptions</w:t>
      </w:r>
      <w:r w:rsidR="00736FBE" w:rsidRPr="006C516E">
        <w:rPr>
          <w:rFonts w:ascii="Arial" w:hAnsi="Arial" w:cs="Arial"/>
          <w:b/>
          <w:sz w:val="28"/>
          <w:szCs w:val="28"/>
        </w:rPr>
        <w:t xml:space="preserve"> for existing residents</w:t>
      </w:r>
    </w:p>
    <w:p w14:paraId="3A47AFD1" w14:textId="77777777" w:rsidR="00F40B0E" w:rsidRPr="006C516E" w:rsidRDefault="00F40B0E" w:rsidP="003A3029">
      <w:pPr>
        <w:rPr>
          <w:rFonts w:ascii="Arial" w:hAnsi="Arial" w:cs="Arial"/>
        </w:rPr>
      </w:pPr>
    </w:p>
    <w:p w14:paraId="6B30C1C2" w14:textId="77777777" w:rsidR="00F40B0E" w:rsidRPr="006C516E" w:rsidRDefault="00BC2BD5" w:rsidP="003A3029">
      <w:pPr>
        <w:rPr>
          <w:rFonts w:ascii="Arial" w:hAnsi="Arial" w:cs="Arial"/>
        </w:rPr>
      </w:pPr>
      <w:r w:rsidRPr="006C516E">
        <w:rPr>
          <w:rFonts w:ascii="Arial" w:hAnsi="Arial" w:cs="Arial"/>
        </w:rPr>
        <w:t>AHSRI</w:t>
      </w:r>
      <w:r w:rsidR="00F40B0E" w:rsidRPr="006C516E">
        <w:rPr>
          <w:rFonts w:ascii="Arial" w:hAnsi="Arial" w:cs="Arial"/>
        </w:rPr>
        <w:t xml:space="preserve"> recommend</w:t>
      </w:r>
      <w:r w:rsidRPr="006C516E">
        <w:rPr>
          <w:rFonts w:ascii="Arial" w:hAnsi="Arial" w:cs="Arial"/>
        </w:rPr>
        <w:t>s</w:t>
      </w:r>
      <w:r w:rsidR="00F40B0E" w:rsidRPr="006C516E">
        <w:rPr>
          <w:rFonts w:ascii="Arial" w:hAnsi="Arial" w:cs="Arial"/>
        </w:rPr>
        <w:t xml:space="preserve"> a transition strategy whereby the ACFI and AN-ACC run concurrently for two years after AN-ACC is implemented. </w:t>
      </w:r>
    </w:p>
    <w:p w14:paraId="488631B4" w14:textId="77777777" w:rsidR="00F40B0E" w:rsidRPr="006C516E" w:rsidRDefault="00F40B0E" w:rsidP="003A3029">
      <w:pPr>
        <w:rPr>
          <w:rFonts w:ascii="Arial" w:hAnsi="Arial" w:cs="Arial"/>
        </w:rPr>
      </w:pPr>
    </w:p>
    <w:p w14:paraId="5F2D948A" w14:textId="77777777" w:rsidR="00F40B0E" w:rsidRPr="006C516E" w:rsidRDefault="00F40B0E" w:rsidP="003A3029">
      <w:pPr>
        <w:rPr>
          <w:rFonts w:ascii="Arial" w:hAnsi="Arial" w:cs="Arial"/>
        </w:rPr>
      </w:pPr>
      <w:r w:rsidRPr="006C516E">
        <w:rPr>
          <w:rFonts w:ascii="Arial" w:hAnsi="Arial" w:cs="Arial"/>
        </w:rPr>
        <w:t xml:space="preserve">All new residents and residents requiring re-assessment would be assessed using the AN-ACC assessment tool and funded using the new model. ACFI payment rates would be frozen for existing residents for the two years during transition. </w:t>
      </w:r>
    </w:p>
    <w:p w14:paraId="72A85D47" w14:textId="77777777" w:rsidR="00F40B0E" w:rsidRPr="006C516E" w:rsidRDefault="00F40B0E" w:rsidP="003A3029">
      <w:pPr>
        <w:rPr>
          <w:rFonts w:ascii="Arial" w:hAnsi="Arial" w:cs="Arial"/>
        </w:rPr>
      </w:pPr>
    </w:p>
    <w:p w14:paraId="400F6341" w14:textId="77777777" w:rsidR="00F40B0E" w:rsidRPr="006C516E" w:rsidRDefault="00F40B0E" w:rsidP="003A3029">
      <w:pPr>
        <w:rPr>
          <w:rFonts w:ascii="Arial" w:hAnsi="Arial" w:cs="Arial"/>
        </w:rPr>
      </w:pPr>
      <w:r w:rsidRPr="006C516E">
        <w:rPr>
          <w:rFonts w:ascii="Arial" w:hAnsi="Arial" w:cs="Arial"/>
        </w:rPr>
        <w:t xml:space="preserve">An alternative option </w:t>
      </w:r>
      <w:r w:rsidR="00BC2BD5" w:rsidRPr="006C516E">
        <w:rPr>
          <w:rFonts w:ascii="Arial" w:hAnsi="Arial" w:cs="Arial"/>
        </w:rPr>
        <w:t>to</w:t>
      </w:r>
      <w:r w:rsidR="00736FBE" w:rsidRPr="006C516E">
        <w:rPr>
          <w:rFonts w:ascii="Arial" w:hAnsi="Arial" w:cs="Arial"/>
        </w:rPr>
        <w:t xml:space="preserve"> </w:t>
      </w:r>
      <w:r w:rsidR="00BC2BD5" w:rsidRPr="006C516E">
        <w:rPr>
          <w:rFonts w:ascii="Arial" w:hAnsi="Arial" w:cs="Arial"/>
        </w:rPr>
        <w:t>AHSRI’s</w:t>
      </w:r>
      <w:r w:rsidR="00736FBE" w:rsidRPr="006C516E">
        <w:rPr>
          <w:rFonts w:ascii="Arial" w:hAnsi="Arial" w:cs="Arial"/>
        </w:rPr>
        <w:t xml:space="preserve"> proposal </w:t>
      </w:r>
      <w:r w:rsidRPr="006C516E">
        <w:rPr>
          <w:rFonts w:ascii="Arial" w:hAnsi="Arial" w:cs="Arial"/>
        </w:rPr>
        <w:t>would be for all residents, new and existing, to switch to the new AN-ACC model from a set date.  Under this option all existing residents would be assessed under the AN-ACC over a set period leading up to the commencement date.  All residents would then be under the AN-ACC system from that date</w:t>
      </w:r>
      <w:r w:rsidR="00736FBE" w:rsidRPr="006C516E">
        <w:rPr>
          <w:rFonts w:ascii="Arial" w:hAnsi="Arial" w:cs="Arial"/>
        </w:rPr>
        <w:t xml:space="preserve"> and ACFI and any associated ACFI processes would cease immediately.</w:t>
      </w:r>
    </w:p>
    <w:p w14:paraId="295F9533" w14:textId="77777777" w:rsidR="00F40B0E" w:rsidRPr="006C516E" w:rsidRDefault="00F40B0E" w:rsidP="003A3029">
      <w:pPr>
        <w:rPr>
          <w:rFonts w:ascii="Arial" w:hAnsi="Arial" w:cs="Arial"/>
        </w:rPr>
      </w:pPr>
    </w:p>
    <w:p w14:paraId="52EB7E2C" w14:textId="77777777" w:rsidR="00736FBE" w:rsidRPr="006C516E" w:rsidRDefault="00736FBE" w:rsidP="003A3029">
      <w:pPr>
        <w:rPr>
          <w:rFonts w:ascii="Arial" w:hAnsi="Arial" w:cs="Arial"/>
          <w:b/>
          <w:sz w:val="28"/>
          <w:szCs w:val="28"/>
        </w:rPr>
      </w:pPr>
      <w:r w:rsidRPr="006C516E">
        <w:rPr>
          <w:rFonts w:ascii="Arial" w:hAnsi="Arial" w:cs="Arial"/>
          <w:b/>
          <w:sz w:val="28"/>
          <w:szCs w:val="28"/>
        </w:rPr>
        <w:t>Proposed</w:t>
      </w:r>
      <w:r w:rsidR="00603D02" w:rsidRPr="006C516E">
        <w:rPr>
          <w:rFonts w:ascii="Arial" w:hAnsi="Arial" w:cs="Arial"/>
          <w:b/>
          <w:sz w:val="28"/>
          <w:szCs w:val="28"/>
        </w:rPr>
        <w:t xml:space="preserve"> s</w:t>
      </w:r>
      <w:r w:rsidRPr="006C516E">
        <w:rPr>
          <w:rFonts w:ascii="Arial" w:hAnsi="Arial" w:cs="Arial"/>
          <w:b/>
          <w:sz w:val="28"/>
          <w:szCs w:val="28"/>
        </w:rPr>
        <w:t>top-loss threshold during transition</w:t>
      </w:r>
    </w:p>
    <w:p w14:paraId="2F54441D" w14:textId="77777777" w:rsidR="00736FBE" w:rsidRPr="006C516E" w:rsidRDefault="00736FBE" w:rsidP="003A3029">
      <w:pPr>
        <w:rPr>
          <w:rFonts w:ascii="Arial" w:hAnsi="Arial" w:cs="Arial"/>
        </w:rPr>
      </w:pPr>
    </w:p>
    <w:p w14:paraId="4EC5D61D" w14:textId="323A00D3" w:rsidR="00F40B0E" w:rsidRPr="006C516E" w:rsidRDefault="00BC2BD5" w:rsidP="003A3029">
      <w:pPr>
        <w:rPr>
          <w:rFonts w:ascii="Arial" w:hAnsi="Arial" w:cs="Arial"/>
        </w:rPr>
      </w:pPr>
      <w:r w:rsidRPr="006C516E">
        <w:rPr>
          <w:rFonts w:ascii="Arial" w:hAnsi="Arial" w:cs="Arial"/>
        </w:rPr>
        <w:t>AHSRI</w:t>
      </w:r>
      <w:r w:rsidR="00736FBE" w:rsidRPr="006C516E">
        <w:rPr>
          <w:rFonts w:ascii="Arial" w:hAnsi="Arial" w:cs="Arial"/>
        </w:rPr>
        <w:t xml:space="preserve"> has noted that the new AN-ACC model would involve some redistribution of funding between providers as a result of the new classification system.  </w:t>
      </w:r>
      <w:r w:rsidR="006376B3" w:rsidRPr="006C516E">
        <w:rPr>
          <w:rFonts w:ascii="Arial" w:hAnsi="Arial" w:cs="Arial"/>
        </w:rPr>
        <w:t>A</w:t>
      </w:r>
      <w:r w:rsidR="00F40B0E" w:rsidRPr="006C516E">
        <w:rPr>
          <w:rFonts w:ascii="Arial" w:hAnsi="Arial" w:cs="Arial"/>
        </w:rPr>
        <w:t xml:space="preserve"> stop-loss </w:t>
      </w:r>
      <w:r w:rsidR="00736FBE" w:rsidRPr="006C516E">
        <w:rPr>
          <w:rFonts w:ascii="Arial" w:hAnsi="Arial" w:cs="Arial"/>
        </w:rPr>
        <w:t xml:space="preserve">arrangement </w:t>
      </w:r>
      <w:r w:rsidR="006376B3" w:rsidRPr="006C516E">
        <w:rPr>
          <w:rFonts w:ascii="Arial" w:hAnsi="Arial" w:cs="Arial"/>
        </w:rPr>
        <w:t xml:space="preserve">has been proposed by AHSRI </w:t>
      </w:r>
      <w:r w:rsidR="00736FBE" w:rsidRPr="006C516E">
        <w:rPr>
          <w:rFonts w:ascii="Arial" w:hAnsi="Arial" w:cs="Arial"/>
        </w:rPr>
        <w:t xml:space="preserve">whereby if the impact of the shift to the AN-ACC was a more than 5% reduction in a home’s funding then the Government would make a payment to the home to limit the reduction to 5%.  This would apply over a 2 year period.  </w:t>
      </w:r>
      <w:r w:rsidR="00F40B0E" w:rsidRPr="006C516E">
        <w:rPr>
          <w:rFonts w:ascii="Arial" w:hAnsi="Arial" w:cs="Arial"/>
        </w:rPr>
        <w:t xml:space="preserve">At least 25% of residents in a facility need to have transitioned to AN-ACC for the stop-loss to be applied. </w:t>
      </w:r>
    </w:p>
    <w:p w14:paraId="16B3FE9D" w14:textId="77777777" w:rsidR="00F40B0E" w:rsidRPr="006C516E" w:rsidRDefault="00F40B0E" w:rsidP="003A3029">
      <w:pPr>
        <w:rPr>
          <w:rFonts w:ascii="Arial" w:hAnsi="Arial" w:cs="Arial"/>
        </w:rPr>
      </w:pPr>
    </w:p>
    <w:p w14:paraId="123B8BFA" w14:textId="5DCBCBEA" w:rsidR="00736FBE" w:rsidRPr="006C516E" w:rsidRDefault="00736FBE" w:rsidP="003A3029">
      <w:pPr>
        <w:rPr>
          <w:rFonts w:ascii="Arial" w:hAnsi="Arial" w:cs="Arial"/>
          <w:b/>
          <w:sz w:val="28"/>
          <w:szCs w:val="28"/>
        </w:rPr>
      </w:pPr>
      <w:r w:rsidRPr="006C516E">
        <w:rPr>
          <w:rFonts w:ascii="Arial" w:hAnsi="Arial" w:cs="Arial"/>
          <w:b/>
          <w:sz w:val="28"/>
          <w:szCs w:val="28"/>
        </w:rPr>
        <w:t>Other</w:t>
      </w:r>
      <w:r w:rsidR="00603D02" w:rsidRPr="006C516E">
        <w:rPr>
          <w:rFonts w:ascii="Arial" w:hAnsi="Arial" w:cs="Arial"/>
          <w:b/>
          <w:sz w:val="28"/>
          <w:szCs w:val="28"/>
        </w:rPr>
        <w:t xml:space="preserve"> </w:t>
      </w:r>
      <w:r w:rsidR="00350A98" w:rsidRPr="006C516E">
        <w:rPr>
          <w:rFonts w:ascii="Arial" w:hAnsi="Arial" w:cs="Arial"/>
          <w:b/>
          <w:sz w:val="28"/>
          <w:szCs w:val="28"/>
        </w:rPr>
        <w:t>i</w:t>
      </w:r>
      <w:r w:rsidRPr="006C516E">
        <w:rPr>
          <w:rFonts w:ascii="Arial" w:hAnsi="Arial" w:cs="Arial"/>
          <w:b/>
          <w:sz w:val="28"/>
          <w:szCs w:val="28"/>
        </w:rPr>
        <w:t>mplementation considerations and timing</w:t>
      </w:r>
    </w:p>
    <w:p w14:paraId="1175BF7A" w14:textId="77777777" w:rsidR="00736FBE" w:rsidRPr="006C516E" w:rsidRDefault="00736FBE" w:rsidP="003A3029">
      <w:pPr>
        <w:rPr>
          <w:rFonts w:ascii="Arial" w:hAnsi="Arial" w:cs="Arial"/>
        </w:rPr>
      </w:pPr>
    </w:p>
    <w:p w14:paraId="6D3F7400" w14:textId="77777777" w:rsidR="00736FBE" w:rsidRPr="006C516E" w:rsidRDefault="00736FBE" w:rsidP="003A3029">
      <w:pPr>
        <w:rPr>
          <w:rFonts w:ascii="Arial" w:hAnsi="Arial" w:cs="Arial"/>
        </w:rPr>
      </w:pPr>
      <w:r w:rsidRPr="006C516E">
        <w:rPr>
          <w:rFonts w:ascii="Arial" w:hAnsi="Arial" w:cs="Arial"/>
        </w:rPr>
        <w:t>Implementation of the model would require legislative change and development of new or revised IT systems for Government and providers.  The new external workforce will need to be trained.</w:t>
      </w:r>
      <w:r w:rsidR="004A2219" w:rsidRPr="006C516E">
        <w:rPr>
          <w:rFonts w:ascii="Arial" w:hAnsi="Arial" w:cs="Arial"/>
        </w:rPr>
        <w:t xml:space="preserve">  Providers would no longer need to devote resources to undertaking and administration of ACFI assessments and associated tasks, freeing up resources for use in care delivery.</w:t>
      </w:r>
    </w:p>
    <w:p w14:paraId="3652052F" w14:textId="77777777" w:rsidR="004A2219" w:rsidRPr="006C516E" w:rsidRDefault="004A2219" w:rsidP="003A3029">
      <w:pPr>
        <w:rPr>
          <w:rFonts w:ascii="Arial" w:hAnsi="Arial" w:cs="Arial"/>
        </w:rPr>
      </w:pPr>
    </w:p>
    <w:p w14:paraId="039DA62F" w14:textId="77777777" w:rsidR="004A2219" w:rsidRPr="006C516E" w:rsidRDefault="004A2219" w:rsidP="003A3029">
      <w:pPr>
        <w:rPr>
          <w:rFonts w:ascii="Arial" w:hAnsi="Arial" w:cs="Arial"/>
        </w:rPr>
      </w:pPr>
      <w:r w:rsidRPr="006C516E">
        <w:rPr>
          <w:rFonts w:ascii="Arial" w:hAnsi="Arial" w:cs="Arial"/>
        </w:rPr>
        <w:t>To test the impacts and processes the Government has announced a trial to commence in the second half of 2019 of AN-ACC.</w:t>
      </w:r>
    </w:p>
    <w:p w14:paraId="51FCFED6" w14:textId="77777777" w:rsidR="004A2219" w:rsidRPr="006C516E" w:rsidRDefault="004A2219" w:rsidP="003A3029">
      <w:pPr>
        <w:rPr>
          <w:rFonts w:ascii="Arial" w:hAnsi="Arial" w:cs="Arial"/>
        </w:rPr>
      </w:pPr>
    </w:p>
    <w:p w14:paraId="71C9468F" w14:textId="77777777" w:rsidR="004A2219" w:rsidRPr="006C516E" w:rsidRDefault="004A2219" w:rsidP="003A3029">
      <w:pPr>
        <w:rPr>
          <w:rFonts w:ascii="Arial" w:hAnsi="Arial" w:cs="Arial"/>
        </w:rPr>
      </w:pPr>
      <w:r w:rsidRPr="006C516E">
        <w:rPr>
          <w:rFonts w:ascii="Arial" w:hAnsi="Arial" w:cs="Arial"/>
        </w:rPr>
        <w:t>No date has been set for when AN-ACC may be implemented but views of the sector are sought on this issue.</w:t>
      </w:r>
    </w:p>
    <w:p w14:paraId="51A4CE97" w14:textId="77777777" w:rsidR="00736FBE" w:rsidRPr="006C516E" w:rsidRDefault="00736FBE" w:rsidP="003A3029">
      <w:pPr>
        <w:rPr>
          <w:rFonts w:ascii="Arial" w:hAnsi="Arial" w:cs="Arial"/>
        </w:rPr>
      </w:pPr>
    </w:p>
    <w:p w14:paraId="5A0E7C90" w14:textId="0D465054" w:rsidR="00DA1390" w:rsidRPr="006C516E" w:rsidRDefault="00E056E1"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6C516E">
        <w:rPr>
          <w:rFonts w:ascii="Arial" w:hAnsi="Arial" w:cs="Arial"/>
        </w:rPr>
        <w:t>1</w:t>
      </w:r>
      <w:r w:rsidR="00C11532">
        <w:rPr>
          <w:rFonts w:ascii="Arial" w:hAnsi="Arial" w:cs="Arial"/>
        </w:rPr>
        <w:t>0</w:t>
      </w:r>
      <w:r w:rsidR="00DA1390" w:rsidRPr="006C516E">
        <w:rPr>
          <w:rFonts w:ascii="Arial" w:hAnsi="Arial" w:cs="Arial"/>
        </w:rPr>
        <w:t>. Which transition option do you prefer?</w:t>
      </w:r>
      <w:r w:rsidR="003F329B" w:rsidRPr="006C516E">
        <w:rPr>
          <w:rFonts w:ascii="Arial" w:hAnsi="Arial" w:cs="Arial"/>
        </w:rPr>
        <w:t xml:space="preserve"> Why?</w:t>
      </w:r>
    </w:p>
    <w:p w14:paraId="78CD816B" w14:textId="3C9C1422" w:rsidR="00DA1390" w:rsidRPr="006C516E" w:rsidRDefault="00E056E1"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6C516E">
        <w:rPr>
          <w:rFonts w:ascii="Arial" w:hAnsi="Arial" w:cs="Arial"/>
        </w:rPr>
        <w:t>1</w:t>
      </w:r>
      <w:r w:rsidR="00C11532">
        <w:rPr>
          <w:rFonts w:ascii="Arial" w:hAnsi="Arial" w:cs="Arial"/>
        </w:rPr>
        <w:t>1</w:t>
      </w:r>
      <w:r w:rsidR="00DA1390" w:rsidRPr="006C516E">
        <w:rPr>
          <w:rFonts w:ascii="Arial" w:hAnsi="Arial" w:cs="Arial"/>
        </w:rPr>
        <w:t>. Are there any other approaches that should be considered?</w:t>
      </w:r>
    </w:p>
    <w:p w14:paraId="3A964D66" w14:textId="77777777" w:rsidR="00F40B0E" w:rsidRPr="006C516E" w:rsidRDefault="00F40B0E" w:rsidP="003A3029">
      <w:pPr>
        <w:rPr>
          <w:rFonts w:ascii="Arial" w:hAnsi="Arial" w:cs="Arial"/>
        </w:rPr>
      </w:pPr>
    </w:p>
    <w:p w14:paraId="33241407" w14:textId="77777777" w:rsidR="00D30B1C" w:rsidRPr="006C516E" w:rsidRDefault="00D30B1C" w:rsidP="003A3029">
      <w:pPr>
        <w:rPr>
          <w:rFonts w:ascii="Arial" w:hAnsi="Arial" w:cs="Arial"/>
          <w:b/>
          <w:bCs/>
          <w:kern w:val="28"/>
          <w:sz w:val="32"/>
          <w:szCs w:val="32"/>
        </w:rPr>
      </w:pPr>
      <w:bookmarkStart w:id="16" w:name="_Toc497300938"/>
      <w:bookmarkStart w:id="17" w:name="_SDCU_proposed_service"/>
      <w:bookmarkEnd w:id="16"/>
      <w:bookmarkEnd w:id="17"/>
      <w:r w:rsidRPr="006C516E">
        <w:rPr>
          <w:rFonts w:ascii="Arial" w:hAnsi="Arial" w:cs="Arial"/>
        </w:rPr>
        <w:br w:type="page"/>
      </w:r>
    </w:p>
    <w:p w14:paraId="0A211F72" w14:textId="4A87CB5C" w:rsidR="004A2219" w:rsidRPr="006C516E" w:rsidRDefault="00533484" w:rsidP="003A3029">
      <w:pPr>
        <w:pStyle w:val="Heading1"/>
      </w:pPr>
      <w:bookmarkStart w:id="18" w:name="_Toc3383722"/>
      <w:r>
        <w:lastRenderedPageBreak/>
        <w:t>Section 11</w:t>
      </w:r>
      <w:r w:rsidR="008A30A2" w:rsidRPr="006C516E">
        <w:t xml:space="preserve"> – </w:t>
      </w:r>
      <w:r w:rsidR="00626BBA" w:rsidRPr="006C516E">
        <w:t>I</w:t>
      </w:r>
      <w:r w:rsidR="004A2219" w:rsidRPr="006C516E">
        <w:t>mplications</w:t>
      </w:r>
      <w:r w:rsidR="008A30A2" w:rsidRPr="006C516E">
        <w:t xml:space="preserve"> </w:t>
      </w:r>
      <w:r w:rsidR="004A2219" w:rsidRPr="006C516E">
        <w:t>for care delivery and planning</w:t>
      </w:r>
      <w:bookmarkEnd w:id="18"/>
    </w:p>
    <w:p w14:paraId="33C01628" w14:textId="77777777" w:rsidR="004A2219" w:rsidRPr="006C516E" w:rsidRDefault="004A2219" w:rsidP="003A3029">
      <w:pPr>
        <w:rPr>
          <w:rFonts w:ascii="Arial" w:hAnsi="Arial" w:cs="Arial"/>
          <w:b/>
        </w:rPr>
      </w:pPr>
    </w:p>
    <w:p w14:paraId="6B1EC9C8" w14:textId="77777777" w:rsidR="004A2219" w:rsidRPr="006C516E" w:rsidRDefault="004A2219" w:rsidP="003A3029">
      <w:pPr>
        <w:rPr>
          <w:rFonts w:ascii="Arial" w:hAnsi="Arial" w:cs="Arial"/>
          <w:sz w:val="23"/>
          <w:szCs w:val="23"/>
        </w:rPr>
      </w:pPr>
      <w:r w:rsidRPr="006C516E">
        <w:rPr>
          <w:rFonts w:ascii="Arial" w:hAnsi="Arial" w:cs="Arial"/>
          <w:sz w:val="23"/>
          <w:szCs w:val="23"/>
        </w:rPr>
        <w:t>The AN-ACC classification is a core building block to better measure, resource and report on the inputs, outputs and outcomes of the aged care system. Better data based on objective measures of the needs of residents is essential to describe and to predict the changing needs and costs of the aged care sector into the future.</w:t>
      </w:r>
    </w:p>
    <w:p w14:paraId="172FE1EA" w14:textId="77777777" w:rsidR="004A2219" w:rsidRPr="006C516E" w:rsidRDefault="004A2219" w:rsidP="003A3029">
      <w:pPr>
        <w:spacing w:before="100" w:beforeAutospacing="1" w:after="100" w:afterAutospacing="1"/>
        <w:rPr>
          <w:rFonts w:ascii="Arial" w:hAnsi="Arial" w:cs="Arial"/>
          <w:lang w:eastAsia="en-AU"/>
        </w:rPr>
      </w:pPr>
      <w:r w:rsidRPr="006C516E">
        <w:rPr>
          <w:rFonts w:ascii="Arial" w:hAnsi="Arial" w:cs="Arial"/>
          <w:lang w:eastAsia="en-AU"/>
        </w:rPr>
        <w:t xml:space="preserve">The system builds in explicit incentives for the quality of care. There is no requirement for residents' care needs to be reassessed, meaning that providers who invest to improve the capacities of their residents will continue to be paid at the initial, higher funding level. </w:t>
      </w:r>
    </w:p>
    <w:p w14:paraId="22FA82FC" w14:textId="461F06A7" w:rsidR="004A2219" w:rsidRPr="006C516E" w:rsidRDefault="004A2219" w:rsidP="003A3029">
      <w:pPr>
        <w:spacing w:before="100" w:beforeAutospacing="1" w:after="100" w:afterAutospacing="1"/>
        <w:rPr>
          <w:rFonts w:ascii="Arial" w:hAnsi="Arial" w:cs="Arial"/>
          <w:lang w:eastAsia="en-AU"/>
        </w:rPr>
      </w:pPr>
      <w:r w:rsidRPr="006C516E">
        <w:rPr>
          <w:rFonts w:ascii="Arial" w:hAnsi="Arial" w:cs="Arial"/>
          <w:lang w:eastAsia="en-AU"/>
        </w:rPr>
        <w:t>Recognising that facilities may currently be using the ACFI as a quasi</w:t>
      </w:r>
      <w:r w:rsidR="00603D02" w:rsidRPr="006C516E">
        <w:rPr>
          <w:rFonts w:ascii="Arial" w:hAnsi="Arial" w:cs="Arial"/>
          <w:lang w:eastAsia="en-AU"/>
        </w:rPr>
        <w:t>-</w:t>
      </w:r>
      <w:r w:rsidRPr="006C516E">
        <w:rPr>
          <w:rFonts w:ascii="Arial" w:hAnsi="Arial" w:cs="Arial"/>
          <w:lang w:eastAsia="en-AU"/>
        </w:rPr>
        <w:t xml:space="preserve">care planning tool, </w:t>
      </w:r>
      <w:r w:rsidR="00BC2BD5" w:rsidRPr="006C516E">
        <w:rPr>
          <w:rFonts w:ascii="Arial" w:hAnsi="Arial" w:cs="Arial"/>
          <w:lang w:eastAsia="en-AU"/>
        </w:rPr>
        <w:t>AHSRI</w:t>
      </w:r>
      <w:r w:rsidRPr="006C516E">
        <w:rPr>
          <w:rFonts w:ascii="Arial" w:hAnsi="Arial" w:cs="Arial"/>
          <w:lang w:eastAsia="en-AU"/>
        </w:rPr>
        <w:t xml:space="preserve"> recommends that a best practice needs identification and care planning assessment tool be developed for use by residential facilities.  They also propose that each resident undergo a care planning assessment at least annually with outcomes discussed with residents and carers.</w:t>
      </w:r>
    </w:p>
    <w:p w14:paraId="7F7FC121" w14:textId="77777777" w:rsidR="004A2219" w:rsidRPr="006C516E" w:rsidRDefault="004A2219" w:rsidP="003A3029">
      <w:pPr>
        <w:spacing w:before="100" w:beforeAutospacing="1" w:after="100" w:afterAutospacing="1"/>
        <w:rPr>
          <w:rFonts w:ascii="Arial" w:hAnsi="Arial" w:cs="Arial"/>
          <w:lang w:eastAsia="en-AU"/>
        </w:rPr>
      </w:pPr>
      <w:r w:rsidRPr="006C516E">
        <w:rPr>
          <w:rFonts w:ascii="Arial" w:hAnsi="Arial" w:cs="Arial"/>
          <w:lang w:eastAsia="en-AU"/>
        </w:rPr>
        <w:t xml:space="preserve">The AN-ACC classification groups residents with similar care needs together into thirteen distinct classes. The homogeneity of individuals within these classes will allow the development of meaningful and reliable comparisons of care outcomes between facilities, and will provide indicators of both high quality and low quality care. For example, measures of hospitalisation, falls, pressure sores and mortality will be able to be adjusted for the profile of residents and directly compared between facilities. Over time, a clear picture of the normal journey of residents through the residential aged care system will emerge and research into divergences from the standard pathway could identify beneficial care practices that improve resident outcomes as well as flagging potential quality concerns. </w:t>
      </w:r>
    </w:p>
    <w:p w14:paraId="6F667A5B" w14:textId="70056DD0" w:rsidR="00DA1390" w:rsidRPr="006C516E" w:rsidRDefault="00E056E1"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6C516E">
        <w:rPr>
          <w:rFonts w:ascii="Arial" w:hAnsi="Arial" w:cs="Arial"/>
        </w:rPr>
        <w:t>1</w:t>
      </w:r>
      <w:r w:rsidR="00C11532">
        <w:rPr>
          <w:rFonts w:ascii="Arial" w:hAnsi="Arial" w:cs="Arial"/>
        </w:rPr>
        <w:t>2</w:t>
      </w:r>
      <w:r w:rsidRPr="006C516E">
        <w:rPr>
          <w:rFonts w:ascii="Arial" w:hAnsi="Arial" w:cs="Arial"/>
        </w:rPr>
        <w:t>.</w:t>
      </w:r>
      <w:r w:rsidR="00DA1390" w:rsidRPr="006C516E">
        <w:rPr>
          <w:rFonts w:ascii="Arial" w:hAnsi="Arial" w:cs="Arial"/>
        </w:rPr>
        <w:t xml:space="preserve"> What are the implications of ceasing ACFI assessments in relation to care planning activities?</w:t>
      </w:r>
    </w:p>
    <w:p w14:paraId="4225AE1C" w14:textId="5FF0E30A" w:rsidR="00DA1390" w:rsidRPr="006C516E" w:rsidRDefault="00E056E1"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lang w:eastAsia="en-AU"/>
        </w:rPr>
      </w:pPr>
      <w:r w:rsidRPr="006C516E">
        <w:rPr>
          <w:rFonts w:ascii="Arial" w:hAnsi="Arial" w:cs="Arial"/>
        </w:rPr>
        <w:t>1</w:t>
      </w:r>
      <w:r w:rsidR="00C11532">
        <w:rPr>
          <w:rFonts w:ascii="Arial" w:hAnsi="Arial" w:cs="Arial"/>
        </w:rPr>
        <w:t>3</w:t>
      </w:r>
      <w:r w:rsidR="00DA1390" w:rsidRPr="006C516E">
        <w:rPr>
          <w:rFonts w:ascii="Arial" w:hAnsi="Arial" w:cs="Arial"/>
        </w:rPr>
        <w:t xml:space="preserve">. Do you support the development of </w:t>
      </w:r>
      <w:r w:rsidR="00DA1390" w:rsidRPr="006C516E">
        <w:rPr>
          <w:rFonts w:ascii="Arial" w:hAnsi="Arial" w:cs="Arial"/>
          <w:lang w:eastAsia="en-AU"/>
        </w:rPr>
        <w:t>a best practice needs identification and care planning assessment tool fo</w:t>
      </w:r>
      <w:r w:rsidR="00B07244" w:rsidRPr="006C516E">
        <w:rPr>
          <w:rFonts w:ascii="Arial" w:hAnsi="Arial" w:cs="Arial"/>
          <w:lang w:eastAsia="en-AU"/>
        </w:rPr>
        <w:t>r use by residential facilities?</w:t>
      </w:r>
    </w:p>
    <w:p w14:paraId="479C4143" w14:textId="1605B57C" w:rsidR="00DA1390" w:rsidRPr="006C516E" w:rsidRDefault="00E056E1" w:rsidP="003A302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6C516E">
        <w:rPr>
          <w:rFonts w:ascii="Arial" w:hAnsi="Arial" w:cs="Arial"/>
          <w:lang w:eastAsia="en-AU"/>
        </w:rPr>
        <w:t>1</w:t>
      </w:r>
      <w:r w:rsidR="00C11532">
        <w:rPr>
          <w:rFonts w:ascii="Arial" w:hAnsi="Arial" w:cs="Arial"/>
          <w:lang w:eastAsia="en-AU"/>
        </w:rPr>
        <w:t>4</w:t>
      </w:r>
      <w:r w:rsidR="00DA1390" w:rsidRPr="006C516E">
        <w:rPr>
          <w:rFonts w:ascii="Arial" w:hAnsi="Arial" w:cs="Arial"/>
          <w:lang w:eastAsia="en-AU"/>
        </w:rPr>
        <w:t xml:space="preserve">. </w:t>
      </w:r>
      <w:r w:rsidR="00DA1390" w:rsidRPr="006C516E">
        <w:rPr>
          <w:rFonts w:ascii="Arial" w:hAnsi="Arial" w:cs="Arial"/>
        </w:rPr>
        <w:t xml:space="preserve">Do you support </w:t>
      </w:r>
      <w:r w:rsidR="00085A75" w:rsidRPr="006C516E">
        <w:rPr>
          <w:rFonts w:ascii="Arial" w:hAnsi="Arial" w:cs="Arial"/>
        </w:rPr>
        <w:t xml:space="preserve">a requirement for </w:t>
      </w:r>
      <w:r w:rsidR="00DA1390" w:rsidRPr="006C516E">
        <w:rPr>
          <w:rFonts w:ascii="Arial" w:hAnsi="Arial" w:cs="Arial"/>
          <w:lang w:eastAsia="en-AU"/>
        </w:rPr>
        <w:t>care planning assessment</w:t>
      </w:r>
      <w:r w:rsidR="00FF2A2B" w:rsidRPr="006C516E">
        <w:rPr>
          <w:rFonts w:ascii="Arial" w:hAnsi="Arial" w:cs="Arial"/>
          <w:lang w:eastAsia="en-AU"/>
        </w:rPr>
        <w:t xml:space="preserve">s </w:t>
      </w:r>
      <w:r w:rsidR="00085A75" w:rsidRPr="006C516E">
        <w:rPr>
          <w:rFonts w:ascii="Arial" w:hAnsi="Arial" w:cs="Arial"/>
          <w:lang w:eastAsia="en-AU"/>
        </w:rPr>
        <w:t xml:space="preserve">to be undertaken at least once a year </w:t>
      </w:r>
      <w:r w:rsidR="00FF2A2B" w:rsidRPr="006C516E">
        <w:rPr>
          <w:rFonts w:ascii="Arial" w:hAnsi="Arial" w:cs="Arial"/>
          <w:lang w:eastAsia="en-AU"/>
        </w:rPr>
        <w:t>for all residents,</w:t>
      </w:r>
      <w:r w:rsidR="00DA1390" w:rsidRPr="006C516E">
        <w:rPr>
          <w:rFonts w:ascii="Arial" w:hAnsi="Arial" w:cs="Arial"/>
          <w:lang w:eastAsia="en-AU"/>
        </w:rPr>
        <w:t xml:space="preserve"> with outcomes discussed with residents and carers?</w:t>
      </w:r>
    </w:p>
    <w:p w14:paraId="55D5C0A5" w14:textId="77777777" w:rsidR="004A2219" w:rsidRPr="006C516E" w:rsidRDefault="004A2219" w:rsidP="003A3029">
      <w:pPr>
        <w:rPr>
          <w:rFonts w:ascii="Arial" w:hAnsi="Arial" w:cs="Arial"/>
          <w:b/>
        </w:rPr>
      </w:pPr>
      <w:r w:rsidRPr="006C516E">
        <w:rPr>
          <w:rFonts w:ascii="Arial" w:hAnsi="Arial" w:cs="Arial"/>
          <w:b/>
        </w:rPr>
        <w:br w:type="page"/>
      </w:r>
    </w:p>
    <w:p w14:paraId="10E5E7E3" w14:textId="77777777" w:rsidR="00E657A9" w:rsidRPr="006C516E" w:rsidRDefault="002B1D74" w:rsidP="003A3029">
      <w:pPr>
        <w:pStyle w:val="Heading1"/>
      </w:pPr>
      <w:bookmarkStart w:id="19" w:name="_Toc3383723"/>
      <w:r w:rsidRPr="006C516E">
        <w:lastRenderedPageBreak/>
        <w:t>Attachment A – Background – the Aged Care Funding Instrument (</w:t>
      </w:r>
      <w:r w:rsidR="00E657A9" w:rsidRPr="006C516E">
        <w:t>ACFI</w:t>
      </w:r>
      <w:r w:rsidRPr="006C516E">
        <w:t>)</w:t>
      </w:r>
      <w:bookmarkEnd w:id="19"/>
    </w:p>
    <w:p w14:paraId="5EFDBBBE" w14:textId="77777777" w:rsidR="00E657A9" w:rsidRPr="006C516E" w:rsidRDefault="00E657A9" w:rsidP="003A3029">
      <w:pPr>
        <w:rPr>
          <w:rFonts w:ascii="Arial" w:hAnsi="Arial" w:cs="Arial"/>
          <w:highlight w:val="yellow"/>
        </w:rPr>
      </w:pPr>
      <w:bookmarkStart w:id="20" w:name="_Toc499044319"/>
      <w:bookmarkStart w:id="21" w:name="_Background"/>
      <w:bookmarkEnd w:id="20"/>
      <w:bookmarkEnd w:id="21"/>
    </w:p>
    <w:p w14:paraId="4718556B" w14:textId="77777777" w:rsidR="00E657A9" w:rsidRPr="006C516E" w:rsidRDefault="00E657A9" w:rsidP="003A3029">
      <w:pPr>
        <w:rPr>
          <w:rFonts w:ascii="Arial" w:hAnsi="Arial" w:cs="Arial"/>
        </w:rPr>
      </w:pPr>
    </w:p>
    <w:p w14:paraId="0B91CB35" w14:textId="77777777" w:rsidR="00E657A9" w:rsidRPr="006C516E" w:rsidRDefault="00E657A9" w:rsidP="003A3029">
      <w:pPr>
        <w:rPr>
          <w:rFonts w:ascii="Arial" w:hAnsi="Arial" w:cs="Arial"/>
        </w:rPr>
      </w:pPr>
      <w:r w:rsidRPr="006C516E">
        <w:rPr>
          <w:rFonts w:ascii="Arial" w:hAnsi="Arial" w:cs="Arial"/>
        </w:rPr>
        <w:t xml:space="preserve">The ACFI assesses the relative care needs of residents and is the mechanism for allocating the Government subsidy to aged care providers for delivering care to residents. The ACFI replaced the former Resident Classification Scale on 20 March 2008. </w:t>
      </w:r>
    </w:p>
    <w:p w14:paraId="732D61DB" w14:textId="77777777" w:rsidR="00E657A9" w:rsidRPr="006C516E" w:rsidRDefault="00E657A9" w:rsidP="003A3029">
      <w:pPr>
        <w:rPr>
          <w:rFonts w:ascii="Arial" w:hAnsi="Arial" w:cs="Arial"/>
        </w:rPr>
      </w:pPr>
    </w:p>
    <w:p w14:paraId="2F0FF1D7" w14:textId="77777777" w:rsidR="00706777" w:rsidRPr="006C516E" w:rsidRDefault="00E657A9" w:rsidP="003A3029">
      <w:pPr>
        <w:rPr>
          <w:rFonts w:ascii="Arial" w:hAnsi="Arial" w:cs="Arial"/>
        </w:rPr>
      </w:pPr>
      <w:r w:rsidRPr="006C516E">
        <w:rPr>
          <w:rFonts w:ascii="Arial" w:hAnsi="Arial" w:cs="Arial"/>
        </w:rPr>
        <w:t>The instrument consists of 12 care needs questions, some of which have specified assessment tools</w:t>
      </w:r>
      <w:r w:rsidR="00706777" w:rsidRPr="006C516E">
        <w:rPr>
          <w:rFonts w:ascii="Arial" w:hAnsi="Arial" w:cs="Arial"/>
        </w:rPr>
        <w:t xml:space="preserve"> The questions are rated by the aged care home on a scale of A, B, C, or D then used to determine an individual’s ‘ACFI rating’ across three funding categories or domains</w:t>
      </w:r>
      <w:r w:rsidRPr="006C516E">
        <w:rPr>
          <w:rFonts w:ascii="Arial" w:hAnsi="Arial" w:cs="Arial"/>
        </w:rPr>
        <w:t>: Activities of Daily Living (ADL), Behaviour (BEH) and Complex Health Care (CHC). Funding in each of these domains is</w:t>
      </w:r>
      <w:r w:rsidR="00706777" w:rsidRPr="006C516E">
        <w:rPr>
          <w:rFonts w:ascii="Arial" w:hAnsi="Arial" w:cs="Arial"/>
        </w:rPr>
        <w:t xml:space="preserve"> based on the</w:t>
      </w:r>
      <w:r w:rsidRPr="006C516E">
        <w:rPr>
          <w:rFonts w:ascii="Arial" w:hAnsi="Arial" w:cs="Arial"/>
        </w:rPr>
        <w:t xml:space="preserve"> </w:t>
      </w:r>
      <w:r w:rsidR="00706777" w:rsidRPr="006C516E">
        <w:rPr>
          <w:rFonts w:ascii="Arial" w:hAnsi="Arial" w:cs="Arial"/>
        </w:rPr>
        <w:t xml:space="preserve">resident’s ACFI rating and is </w:t>
      </w:r>
      <w:r w:rsidRPr="006C516E">
        <w:rPr>
          <w:rFonts w:ascii="Arial" w:hAnsi="Arial" w:cs="Arial"/>
        </w:rPr>
        <w:t>provided at High, Medium, Low or Nil. The total daily subsidy rate paid for the care component of each resident is the sum of the three daily subsidies, with the maximum daily rate currently set at $216.59.</w:t>
      </w:r>
      <w:r w:rsidR="00706777" w:rsidRPr="006C516E">
        <w:rPr>
          <w:rFonts w:ascii="Arial" w:hAnsi="Arial" w:cs="Arial"/>
        </w:rPr>
        <w:t xml:space="preserve"> Table 2 below shows the daily ACFI subsidy rates based on a resident’s score or rating in each funding domain from 20 September 2018. </w:t>
      </w:r>
    </w:p>
    <w:p w14:paraId="11BD9282" w14:textId="77777777" w:rsidR="00706777" w:rsidRPr="006C516E" w:rsidRDefault="00706777" w:rsidP="003A3029">
      <w:pPr>
        <w:rPr>
          <w:rFonts w:ascii="Arial" w:hAnsi="Arial" w:cs="Arial"/>
          <w:b/>
        </w:rPr>
      </w:pPr>
    </w:p>
    <w:p w14:paraId="30AA510E" w14:textId="77777777" w:rsidR="00706777" w:rsidRPr="006C516E" w:rsidRDefault="00706777" w:rsidP="003A3029">
      <w:pPr>
        <w:rPr>
          <w:rFonts w:ascii="Arial" w:hAnsi="Arial" w:cs="Arial"/>
          <w:b/>
        </w:rPr>
      </w:pPr>
      <w:r w:rsidRPr="006C516E">
        <w:rPr>
          <w:rFonts w:ascii="Arial" w:hAnsi="Arial" w:cs="Arial"/>
          <w:b/>
        </w:rPr>
        <w:t>Table 2: Daily ACFI subsidy rates from 20 September 2018</w:t>
      </w:r>
    </w:p>
    <w:tbl>
      <w:tblPr>
        <w:tblStyle w:val="TableGrid"/>
        <w:tblW w:w="5000" w:type="pct"/>
        <w:jc w:val="center"/>
        <w:tblLook w:val="04A0" w:firstRow="1" w:lastRow="0" w:firstColumn="1" w:lastColumn="0" w:noHBand="0" w:noVBand="1"/>
        <w:tblCaption w:val="Table 1 Daily Aged Care Funding Instrument Funding rates from 20 September 2018"/>
        <w:tblDescription w:val="Table 2 lists Aged Care Funding Instrument daily subsidy rates from 20 September 2018. The table is to be read as a series of rows from left to right ('Level' then 'Activities of Daily living subsidy' then 'Behaviour subsidy' then 'Complex Healthcare subsidy')."/>
      </w:tblPr>
      <w:tblGrid>
        <w:gridCol w:w="2254"/>
        <w:gridCol w:w="2254"/>
        <w:gridCol w:w="2254"/>
        <w:gridCol w:w="2254"/>
      </w:tblGrid>
      <w:tr w:rsidR="00706777" w:rsidRPr="006C516E" w14:paraId="14C1943E" w14:textId="77777777" w:rsidTr="002738C7">
        <w:trPr>
          <w:tblHeader/>
          <w:jc w:val="center"/>
        </w:trPr>
        <w:tc>
          <w:tcPr>
            <w:tcW w:w="1250" w:type="pct"/>
          </w:tcPr>
          <w:p w14:paraId="10F45909" w14:textId="77777777" w:rsidR="00706777" w:rsidRPr="006C516E" w:rsidRDefault="00706777" w:rsidP="003A3029">
            <w:pPr>
              <w:rPr>
                <w:rFonts w:ascii="Arial" w:hAnsi="Arial" w:cs="Arial"/>
              </w:rPr>
            </w:pPr>
            <w:r w:rsidRPr="006C516E">
              <w:rPr>
                <w:rFonts w:ascii="Arial" w:eastAsia="Calibri" w:hAnsi="Arial" w:cs="Arial"/>
                <w:sz w:val="24"/>
              </w:rPr>
              <w:t>Level</w:t>
            </w:r>
          </w:p>
        </w:tc>
        <w:tc>
          <w:tcPr>
            <w:tcW w:w="1250" w:type="pct"/>
          </w:tcPr>
          <w:p w14:paraId="090864AC" w14:textId="77777777" w:rsidR="00706777" w:rsidRPr="006C516E" w:rsidRDefault="00706777" w:rsidP="003A3029">
            <w:pPr>
              <w:rPr>
                <w:rFonts w:ascii="Arial" w:hAnsi="Arial" w:cs="Arial"/>
              </w:rPr>
            </w:pPr>
            <w:r w:rsidRPr="006C516E">
              <w:rPr>
                <w:rFonts w:ascii="Arial" w:eastAsia="Calibri" w:hAnsi="Arial" w:cs="Arial"/>
                <w:sz w:val="24"/>
              </w:rPr>
              <w:t>Activities of Daily Living (ADL)</w:t>
            </w:r>
          </w:p>
        </w:tc>
        <w:tc>
          <w:tcPr>
            <w:tcW w:w="1250" w:type="pct"/>
          </w:tcPr>
          <w:p w14:paraId="220AC904" w14:textId="77777777" w:rsidR="00706777" w:rsidRPr="006C516E" w:rsidRDefault="00706777" w:rsidP="003A3029">
            <w:pPr>
              <w:rPr>
                <w:rFonts w:ascii="Arial" w:hAnsi="Arial" w:cs="Arial"/>
              </w:rPr>
            </w:pPr>
            <w:r w:rsidRPr="006C516E">
              <w:rPr>
                <w:rFonts w:ascii="Arial" w:eastAsia="Calibri" w:hAnsi="Arial" w:cs="Arial"/>
                <w:sz w:val="24"/>
              </w:rPr>
              <w:t>Behaviour (BEH)</w:t>
            </w:r>
          </w:p>
        </w:tc>
        <w:tc>
          <w:tcPr>
            <w:tcW w:w="1250" w:type="pct"/>
          </w:tcPr>
          <w:p w14:paraId="12CE7094" w14:textId="77777777" w:rsidR="00706777" w:rsidRPr="006C516E" w:rsidRDefault="00706777" w:rsidP="003A3029">
            <w:pPr>
              <w:rPr>
                <w:rFonts w:ascii="Arial" w:hAnsi="Arial" w:cs="Arial"/>
              </w:rPr>
            </w:pPr>
            <w:r w:rsidRPr="006C516E">
              <w:rPr>
                <w:rFonts w:ascii="Arial" w:eastAsia="Calibri" w:hAnsi="Arial" w:cs="Arial"/>
                <w:sz w:val="24"/>
              </w:rPr>
              <w:t>Complex Health Care (CHC)</w:t>
            </w:r>
          </w:p>
        </w:tc>
      </w:tr>
      <w:tr w:rsidR="00706777" w:rsidRPr="006C516E" w14:paraId="015767AA" w14:textId="77777777" w:rsidTr="002738C7">
        <w:trPr>
          <w:jc w:val="center"/>
        </w:trPr>
        <w:tc>
          <w:tcPr>
            <w:tcW w:w="1250" w:type="pct"/>
          </w:tcPr>
          <w:p w14:paraId="6160C405" w14:textId="77777777" w:rsidR="00706777" w:rsidRPr="006C516E" w:rsidRDefault="00706777" w:rsidP="003A3029">
            <w:pPr>
              <w:rPr>
                <w:rFonts w:ascii="Arial" w:hAnsi="Arial" w:cs="Arial"/>
              </w:rPr>
            </w:pPr>
            <w:r w:rsidRPr="006C516E">
              <w:rPr>
                <w:rFonts w:ascii="Arial" w:eastAsia="Calibri" w:hAnsi="Arial" w:cs="Arial"/>
                <w:sz w:val="24"/>
              </w:rPr>
              <w:t>Nil</w:t>
            </w:r>
          </w:p>
        </w:tc>
        <w:tc>
          <w:tcPr>
            <w:tcW w:w="1250" w:type="pct"/>
          </w:tcPr>
          <w:p w14:paraId="584CE82E" w14:textId="77777777" w:rsidR="00706777" w:rsidRPr="006C516E" w:rsidRDefault="00706777" w:rsidP="003A3029">
            <w:pPr>
              <w:rPr>
                <w:rFonts w:ascii="Arial" w:hAnsi="Arial" w:cs="Arial"/>
              </w:rPr>
            </w:pPr>
            <w:r w:rsidRPr="006C516E">
              <w:rPr>
                <w:rFonts w:ascii="Arial" w:eastAsia="Calibri" w:hAnsi="Arial" w:cs="Arial"/>
                <w:sz w:val="24"/>
              </w:rPr>
              <w:t>$0.00</w:t>
            </w:r>
          </w:p>
        </w:tc>
        <w:tc>
          <w:tcPr>
            <w:tcW w:w="1250" w:type="pct"/>
          </w:tcPr>
          <w:p w14:paraId="197409ED" w14:textId="77777777" w:rsidR="00706777" w:rsidRPr="006C516E" w:rsidRDefault="00706777" w:rsidP="003A3029">
            <w:pPr>
              <w:rPr>
                <w:rFonts w:ascii="Arial" w:hAnsi="Arial" w:cs="Arial"/>
              </w:rPr>
            </w:pPr>
            <w:r w:rsidRPr="006C516E">
              <w:rPr>
                <w:rFonts w:ascii="Arial" w:eastAsia="Calibri" w:hAnsi="Arial" w:cs="Arial"/>
                <w:sz w:val="24"/>
              </w:rPr>
              <w:t>$0.00</w:t>
            </w:r>
          </w:p>
        </w:tc>
        <w:tc>
          <w:tcPr>
            <w:tcW w:w="1250" w:type="pct"/>
          </w:tcPr>
          <w:p w14:paraId="13AD7B14" w14:textId="77777777" w:rsidR="00706777" w:rsidRPr="006C516E" w:rsidRDefault="00706777" w:rsidP="003A3029">
            <w:pPr>
              <w:rPr>
                <w:rFonts w:ascii="Arial" w:hAnsi="Arial" w:cs="Arial"/>
              </w:rPr>
            </w:pPr>
            <w:r w:rsidRPr="006C516E">
              <w:rPr>
                <w:rFonts w:ascii="Arial" w:eastAsia="Calibri" w:hAnsi="Arial" w:cs="Arial"/>
                <w:sz w:val="24"/>
              </w:rPr>
              <w:t>$0.00</w:t>
            </w:r>
          </w:p>
        </w:tc>
      </w:tr>
      <w:tr w:rsidR="00706777" w:rsidRPr="006C516E" w14:paraId="6AF41DBA" w14:textId="77777777" w:rsidTr="002738C7">
        <w:trPr>
          <w:jc w:val="center"/>
        </w:trPr>
        <w:tc>
          <w:tcPr>
            <w:tcW w:w="1250" w:type="pct"/>
          </w:tcPr>
          <w:p w14:paraId="11309D7B" w14:textId="77777777" w:rsidR="00706777" w:rsidRPr="006C516E" w:rsidRDefault="00706777" w:rsidP="003A3029">
            <w:pPr>
              <w:rPr>
                <w:rFonts w:ascii="Arial" w:hAnsi="Arial" w:cs="Arial"/>
              </w:rPr>
            </w:pPr>
            <w:r w:rsidRPr="006C516E">
              <w:rPr>
                <w:rFonts w:ascii="Arial" w:eastAsia="Calibri" w:hAnsi="Arial" w:cs="Arial"/>
                <w:sz w:val="24"/>
              </w:rPr>
              <w:t>Low</w:t>
            </w:r>
          </w:p>
        </w:tc>
        <w:tc>
          <w:tcPr>
            <w:tcW w:w="1250" w:type="pct"/>
          </w:tcPr>
          <w:p w14:paraId="11163E6C" w14:textId="77777777" w:rsidR="00706777" w:rsidRPr="006C516E" w:rsidRDefault="00706777" w:rsidP="003A3029">
            <w:pPr>
              <w:rPr>
                <w:rFonts w:ascii="Arial" w:hAnsi="Arial" w:cs="Arial"/>
              </w:rPr>
            </w:pPr>
            <w:r w:rsidRPr="006C516E">
              <w:rPr>
                <w:rFonts w:ascii="Arial" w:eastAsia="Calibri" w:hAnsi="Arial" w:cs="Arial"/>
                <w:sz w:val="24"/>
              </w:rPr>
              <w:t xml:space="preserve">$37.16 </w:t>
            </w:r>
          </w:p>
        </w:tc>
        <w:tc>
          <w:tcPr>
            <w:tcW w:w="1250" w:type="pct"/>
          </w:tcPr>
          <w:p w14:paraId="1D655FD5" w14:textId="77777777" w:rsidR="00706777" w:rsidRPr="006C516E" w:rsidRDefault="00706777" w:rsidP="003A3029">
            <w:pPr>
              <w:rPr>
                <w:rFonts w:ascii="Arial" w:hAnsi="Arial" w:cs="Arial"/>
              </w:rPr>
            </w:pPr>
            <w:r w:rsidRPr="006C516E">
              <w:rPr>
                <w:rFonts w:ascii="Arial" w:eastAsia="Calibri" w:hAnsi="Arial" w:cs="Arial"/>
                <w:sz w:val="24"/>
              </w:rPr>
              <w:t xml:space="preserve">$8.49 </w:t>
            </w:r>
          </w:p>
        </w:tc>
        <w:tc>
          <w:tcPr>
            <w:tcW w:w="1250" w:type="pct"/>
          </w:tcPr>
          <w:p w14:paraId="551A3F1D" w14:textId="77777777" w:rsidR="00706777" w:rsidRPr="006C516E" w:rsidRDefault="00706777" w:rsidP="003A3029">
            <w:pPr>
              <w:rPr>
                <w:rFonts w:ascii="Arial" w:hAnsi="Arial" w:cs="Arial"/>
              </w:rPr>
            </w:pPr>
            <w:r w:rsidRPr="006C516E">
              <w:rPr>
                <w:rFonts w:ascii="Arial" w:eastAsia="Calibri" w:hAnsi="Arial" w:cs="Arial"/>
                <w:sz w:val="24"/>
              </w:rPr>
              <w:t>$16.48</w:t>
            </w:r>
          </w:p>
        </w:tc>
      </w:tr>
      <w:tr w:rsidR="00706777" w:rsidRPr="006C516E" w14:paraId="1420CEA3" w14:textId="77777777" w:rsidTr="002738C7">
        <w:trPr>
          <w:jc w:val="center"/>
        </w:trPr>
        <w:tc>
          <w:tcPr>
            <w:tcW w:w="1250" w:type="pct"/>
          </w:tcPr>
          <w:p w14:paraId="3225572A" w14:textId="77777777" w:rsidR="00706777" w:rsidRPr="006C516E" w:rsidRDefault="00706777" w:rsidP="003A3029">
            <w:pPr>
              <w:rPr>
                <w:rFonts w:ascii="Arial" w:hAnsi="Arial" w:cs="Arial"/>
              </w:rPr>
            </w:pPr>
            <w:r w:rsidRPr="006C516E">
              <w:rPr>
                <w:rFonts w:ascii="Arial" w:eastAsia="Calibri" w:hAnsi="Arial" w:cs="Arial"/>
                <w:sz w:val="24"/>
              </w:rPr>
              <w:t xml:space="preserve">Medium </w:t>
            </w:r>
          </w:p>
        </w:tc>
        <w:tc>
          <w:tcPr>
            <w:tcW w:w="1250" w:type="pct"/>
          </w:tcPr>
          <w:p w14:paraId="5D8DC3FE" w14:textId="77777777" w:rsidR="00706777" w:rsidRPr="006C516E" w:rsidRDefault="00706777" w:rsidP="003A3029">
            <w:pPr>
              <w:rPr>
                <w:rFonts w:ascii="Arial" w:hAnsi="Arial" w:cs="Arial"/>
              </w:rPr>
            </w:pPr>
            <w:r w:rsidRPr="006C516E">
              <w:rPr>
                <w:rFonts w:ascii="Arial" w:eastAsia="Calibri" w:hAnsi="Arial" w:cs="Arial"/>
                <w:sz w:val="24"/>
              </w:rPr>
              <w:t>$80.92</w:t>
            </w:r>
          </w:p>
        </w:tc>
        <w:tc>
          <w:tcPr>
            <w:tcW w:w="1250" w:type="pct"/>
          </w:tcPr>
          <w:p w14:paraId="22A4CA08" w14:textId="77777777" w:rsidR="00706777" w:rsidRPr="006C516E" w:rsidRDefault="00706777" w:rsidP="003A3029">
            <w:pPr>
              <w:rPr>
                <w:rFonts w:ascii="Arial" w:hAnsi="Arial" w:cs="Arial"/>
              </w:rPr>
            </w:pPr>
            <w:r w:rsidRPr="006C516E">
              <w:rPr>
                <w:rFonts w:ascii="Arial" w:eastAsia="Calibri" w:hAnsi="Arial" w:cs="Arial"/>
                <w:sz w:val="24"/>
              </w:rPr>
              <w:t>$17.60</w:t>
            </w:r>
          </w:p>
        </w:tc>
        <w:tc>
          <w:tcPr>
            <w:tcW w:w="1250" w:type="pct"/>
          </w:tcPr>
          <w:p w14:paraId="26E757D2" w14:textId="77777777" w:rsidR="00706777" w:rsidRPr="006C516E" w:rsidRDefault="00706777" w:rsidP="003A3029">
            <w:pPr>
              <w:rPr>
                <w:rFonts w:ascii="Arial" w:hAnsi="Arial" w:cs="Arial"/>
              </w:rPr>
            </w:pPr>
            <w:r w:rsidRPr="006C516E">
              <w:rPr>
                <w:rFonts w:ascii="Arial" w:eastAsia="Calibri" w:hAnsi="Arial" w:cs="Arial"/>
                <w:sz w:val="24"/>
              </w:rPr>
              <w:t>$46.95</w:t>
            </w:r>
          </w:p>
        </w:tc>
      </w:tr>
      <w:tr w:rsidR="00706777" w:rsidRPr="006C516E" w14:paraId="20D559A3" w14:textId="77777777" w:rsidTr="002738C7">
        <w:trPr>
          <w:jc w:val="center"/>
        </w:trPr>
        <w:tc>
          <w:tcPr>
            <w:tcW w:w="1250" w:type="pct"/>
          </w:tcPr>
          <w:p w14:paraId="49A3F14C" w14:textId="77777777" w:rsidR="00706777" w:rsidRPr="006C516E" w:rsidRDefault="00706777" w:rsidP="003A3029">
            <w:pPr>
              <w:rPr>
                <w:rFonts w:ascii="Arial" w:hAnsi="Arial" w:cs="Arial"/>
              </w:rPr>
            </w:pPr>
            <w:r w:rsidRPr="006C516E">
              <w:rPr>
                <w:rFonts w:ascii="Arial" w:eastAsia="Calibri" w:hAnsi="Arial" w:cs="Arial"/>
                <w:sz w:val="24"/>
              </w:rPr>
              <w:t>High</w:t>
            </w:r>
          </w:p>
        </w:tc>
        <w:tc>
          <w:tcPr>
            <w:tcW w:w="1250" w:type="pct"/>
          </w:tcPr>
          <w:p w14:paraId="316CBF49" w14:textId="77777777" w:rsidR="00706777" w:rsidRPr="006C516E" w:rsidRDefault="00706777" w:rsidP="003A3029">
            <w:pPr>
              <w:rPr>
                <w:rFonts w:ascii="Arial" w:hAnsi="Arial" w:cs="Arial"/>
              </w:rPr>
            </w:pPr>
            <w:r w:rsidRPr="006C516E">
              <w:rPr>
                <w:rFonts w:ascii="Arial" w:eastAsia="Calibri" w:hAnsi="Arial" w:cs="Arial"/>
                <w:sz w:val="24"/>
              </w:rPr>
              <w:t>$112.10</w:t>
            </w:r>
          </w:p>
        </w:tc>
        <w:tc>
          <w:tcPr>
            <w:tcW w:w="1250" w:type="pct"/>
          </w:tcPr>
          <w:p w14:paraId="33F322B8" w14:textId="77777777" w:rsidR="00706777" w:rsidRPr="006C516E" w:rsidRDefault="00706777" w:rsidP="003A3029">
            <w:pPr>
              <w:rPr>
                <w:rFonts w:ascii="Arial" w:hAnsi="Arial" w:cs="Arial"/>
              </w:rPr>
            </w:pPr>
            <w:r w:rsidRPr="006C516E">
              <w:rPr>
                <w:rFonts w:ascii="Arial" w:eastAsia="Calibri" w:hAnsi="Arial" w:cs="Arial"/>
                <w:sz w:val="24"/>
              </w:rPr>
              <w:t>$36.70</w:t>
            </w:r>
          </w:p>
        </w:tc>
        <w:tc>
          <w:tcPr>
            <w:tcW w:w="1250" w:type="pct"/>
          </w:tcPr>
          <w:p w14:paraId="1187C676" w14:textId="77777777" w:rsidR="00706777" w:rsidRPr="006C516E" w:rsidRDefault="00706777" w:rsidP="003A3029">
            <w:pPr>
              <w:rPr>
                <w:rFonts w:ascii="Arial" w:hAnsi="Arial" w:cs="Arial"/>
              </w:rPr>
            </w:pPr>
            <w:r w:rsidRPr="006C516E">
              <w:rPr>
                <w:rFonts w:ascii="Arial" w:eastAsia="Calibri" w:hAnsi="Arial" w:cs="Arial"/>
                <w:sz w:val="24"/>
              </w:rPr>
              <w:t>$67.79</w:t>
            </w:r>
          </w:p>
        </w:tc>
      </w:tr>
    </w:tbl>
    <w:p w14:paraId="33DC819B" w14:textId="77777777" w:rsidR="00E657A9" w:rsidRPr="006C516E" w:rsidRDefault="00E657A9" w:rsidP="003A3029">
      <w:pPr>
        <w:rPr>
          <w:rFonts w:ascii="Arial" w:hAnsi="Arial" w:cs="Arial"/>
        </w:rPr>
      </w:pPr>
    </w:p>
    <w:p w14:paraId="2D64E469" w14:textId="77777777" w:rsidR="00706777" w:rsidRPr="006C516E" w:rsidRDefault="00E657A9" w:rsidP="003A3029">
      <w:pPr>
        <w:rPr>
          <w:rFonts w:ascii="Arial" w:hAnsi="Arial" w:cs="Arial"/>
        </w:rPr>
      </w:pPr>
      <w:r w:rsidRPr="006C516E">
        <w:rPr>
          <w:rFonts w:ascii="Arial" w:hAnsi="Arial" w:cs="Arial"/>
        </w:rPr>
        <w:t xml:space="preserve">The ADL questions are focused on nutrition, mobility, personal hygiene, toileting and continence. The BEH questions are focused on cognitive skills, wandering, verbal behaviour, physical behaviour and depression.  CHC questions are on medication and complex health, with complex health care captured through 18 sub questions. </w:t>
      </w:r>
    </w:p>
    <w:p w14:paraId="129B6677" w14:textId="77777777" w:rsidR="00E657A9" w:rsidRPr="006C516E" w:rsidRDefault="00E657A9" w:rsidP="003A3029">
      <w:pPr>
        <w:rPr>
          <w:rFonts w:ascii="Arial" w:hAnsi="Arial" w:cs="Arial"/>
        </w:rPr>
      </w:pPr>
    </w:p>
    <w:p w14:paraId="6EB6A04B" w14:textId="77777777" w:rsidR="00706777" w:rsidRPr="006C516E" w:rsidRDefault="00706777" w:rsidP="003A3029">
      <w:pPr>
        <w:rPr>
          <w:rFonts w:ascii="Arial" w:hAnsi="Arial" w:cs="Arial"/>
        </w:rPr>
      </w:pPr>
      <w:r w:rsidRPr="006C516E">
        <w:rPr>
          <w:rFonts w:ascii="Arial" w:hAnsi="Arial" w:cs="Arial"/>
        </w:rPr>
        <w:t xml:space="preserve">Figure </w:t>
      </w:r>
      <w:r w:rsidR="00830DAA" w:rsidRPr="006C516E">
        <w:rPr>
          <w:rFonts w:ascii="Arial" w:hAnsi="Arial" w:cs="Arial"/>
        </w:rPr>
        <w:t>3 below shows the interaction between the ACFI and the current residential aged care funding model</w:t>
      </w:r>
    </w:p>
    <w:p w14:paraId="6F305EDF" w14:textId="77777777" w:rsidR="00830DAA" w:rsidRPr="006C516E" w:rsidRDefault="00830DAA" w:rsidP="003A3029">
      <w:pPr>
        <w:rPr>
          <w:rFonts w:ascii="Arial" w:hAnsi="Arial" w:cs="Arial"/>
        </w:rPr>
      </w:pPr>
    </w:p>
    <w:p w14:paraId="2DB47425" w14:textId="77777777" w:rsidR="00830DAA" w:rsidRPr="006C516E" w:rsidRDefault="00830DAA" w:rsidP="003A3029">
      <w:pPr>
        <w:rPr>
          <w:rFonts w:ascii="Arial" w:hAnsi="Arial" w:cs="Arial"/>
          <w:b/>
          <w:sz w:val="18"/>
        </w:rPr>
      </w:pPr>
      <w:r w:rsidRPr="006C516E">
        <w:rPr>
          <w:rFonts w:ascii="Arial" w:hAnsi="Arial" w:cs="Arial"/>
          <w:b/>
          <w:sz w:val="18"/>
        </w:rPr>
        <w:br w:type="page"/>
      </w:r>
    </w:p>
    <w:p w14:paraId="7ED86EE7" w14:textId="77777777" w:rsidR="00830DAA" w:rsidRPr="006C516E" w:rsidRDefault="00830DAA" w:rsidP="003A3029">
      <w:pPr>
        <w:rPr>
          <w:rFonts w:ascii="Arial" w:hAnsi="Arial" w:cs="Arial"/>
          <w:b/>
          <w:sz w:val="18"/>
        </w:rPr>
      </w:pPr>
      <w:r w:rsidRPr="006C516E">
        <w:rPr>
          <w:rFonts w:ascii="Arial" w:hAnsi="Arial" w:cs="Arial"/>
          <w:b/>
          <w:sz w:val="18"/>
        </w:rPr>
        <w:lastRenderedPageBreak/>
        <w:t>Figure 3: Interaction of the ACFI and the funding model</w:t>
      </w:r>
    </w:p>
    <w:p w14:paraId="50238E5A" w14:textId="77777777" w:rsidR="00830DAA" w:rsidRPr="006C516E" w:rsidRDefault="00830DAA" w:rsidP="003A3029">
      <w:pPr>
        <w:rPr>
          <w:rFonts w:ascii="Arial" w:hAnsi="Arial" w:cs="Arial"/>
        </w:rPr>
      </w:pPr>
      <w:r w:rsidRPr="006C516E">
        <w:rPr>
          <w:rFonts w:ascii="Arial" w:hAnsi="Arial" w:cs="Arial"/>
          <w:noProof/>
          <w:lang w:eastAsia="en-AU"/>
        </w:rPr>
        <w:drawing>
          <wp:inline distT="0" distB="0" distL="0" distR="0" wp14:anchorId="2378CD39" wp14:editId="5CB7E9C8">
            <wp:extent cx="4284921" cy="4597363"/>
            <wp:effectExtent l="0" t="0" r="1905" b="0"/>
            <wp:docPr id="7" name="Picture 7" descr="This picture demonstrates the interaction of ACFI and the current funding model, showing that completing the funding instrument produces a score that produces a low, nil, medium or high rating in each of the Activities of Daily Living, Behaviour and Complex Health Care domains. Domain ratings are associated with the subsidy rates listed in Table 2 above." title="Interaction of ACFI and the current fund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85774" cy="4598279"/>
                    </a:xfrm>
                    <a:prstGeom prst="rect">
                      <a:avLst/>
                    </a:prstGeom>
                  </pic:spPr>
                </pic:pic>
              </a:graphicData>
            </a:graphic>
          </wp:inline>
        </w:drawing>
      </w:r>
    </w:p>
    <w:p w14:paraId="7F18E50A" w14:textId="77777777" w:rsidR="00830DAA" w:rsidRPr="006C516E" w:rsidRDefault="00830DAA" w:rsidP="003A3029">
      <w:pPr>
        <w:spacing w:before="100" w:beforeAutospacing="1" w:after="100" w:afterAutospacing="1"/>
        <w:rPr>
          <w:rFonts w:ascii="Arial" w:hAnsi="Arial" w:cs="Arial"/>
          <w:lang w:eastAsia="en-AU"/>
        </w:rPr>
      </w:pPr>
      <w:r w:rsidRPr="006C516E">
        <w:rPr>
          <w:rFonts w:ascii="Arial" w:hAnsi="Arial" w:cs="Arial"/>
          <w:lang w:eastAsia="en-AU"/>
        </w:rPr>
        <w:t xml:space="preserve">Residential care subsidy is paid monthly and is calculated by adding the amounts due for each resident for each day of the month. A provider’s residential subsidy amount for the claim period (month) is calculated as: </w:t>
      </w:r>
    </w:p>
    <w:p w14:paraId="7917A25F" w14:textId="77777777" w:rsidR="00830DAA" w:rsidRPr="006C516E" w:rsidRDefault="00830DAA" w:rsidP="003A3029">
      <w:pPr>
        <w:pStyle w:val="ListParagraph"/>
        <w:numPr>
          <w:ilvl w:val="0"/>
          <w:numId w:val="14"/>
        </w:numPr>
        <w:spacing w:before="100" w:beforeAutospacing="1" w:after="100" w:afterAutospacing="1"/>
        <w:rPr>
          <w:rFonts w:ascii="Arial" w:hAnsi="Arial" w:cs="Arial"/>
          <w:lang w:eastAsia="en-AU"/>
        </w:rPr>
      </w:pPr>
      <w:r w:rsidRPr="006C516E">
        <w:rPr>
          <w:rFonts w:ascii="Arial" w:hAnsi="Arial" w:cs="Arial"/>
          <w:lang w:eastAsia="en-AU"/>
        </w:rPr>
        <w:t xml:space="preserve">the basic subsidy amount (Aged Care Funding Instrument (ACFI)), for each eligible permanent resident based on their classification under the ACFI. The amount payable for the ACFI depends on the ratings determined for each ACFI question claimed by the approved provider; </w:t>
      </w:r>
    </w:p>
    <w:p w14:paraId="1ABD0C87" w14:textId="77777777" w:rsidR="00830DAA" w:rsidRPr="006C516E" w:rsidRDefault="00830DAA" w:rsidP="003A3029">
      <w:pPr>
        <w:pStyle w:val="ListParagraph"/>
        <w:numPr>
          <w:ilvl w:val="0"/>
          <w:numId w:val="14"/>
        </w:numPr>
        <w:spacing w:before="100" w:beforeAutospacing="1" w:after="100" w:afterAutospacing="1"/>
        <w:rPr>
          <w:rFonts w:ascii="Arial" w:hAnsi="Arial" w:cs="Arial"/>
          <w:lang w:eastAsia="en-AU"/>
        </w:rPr>
      </w:pPr>
      <w:r w:rsidRPr="006C516E">
        <w:rPr>
          <w:rFonts w:ascii="Arial" w:hAnsi="Arial" w:cs="Arial"/>
          <w:b/>
          <w:lang w:eastAsia="en-AU"/>
        </w:rPr>
        <w:t>plus</w:t>
      </w:r>
      <w:r w:rsidRPr="006C516E">
        <w:rPr>
          <w:rFonts w:ascii="Arial" w:hAnsi="Arial" w:cs="Arial"/>
          <w:lang w:eastAsia="en-AU"/>
        </w:rPr>
        <w:t xml:space="preserve"> any primary supplements for each eligible care recipient (oxygen supplement, enteral feeding supplement);</w:t>
      </w:r>
    </w:p>
    <w:p w14:paraId="61964DD0" w14:textId="77777777" w:rsidR="00830DAA" w:rsidRPr="006C516E" w:rsidRDefault="00830DAA" w:rsidP="003A3029">
      <w:pPr>
        <w:pStyle w:val="ListParagraph"/>
        <w:numPr>
          <w:ilvl w:val="0"/>
          <w:numId w:val="14"/>
        </w:numPr>
        <w:spacing w:before="100" w:beforeAutospacing="1" w:after="100" w:afterAutospacing="1"/>
        <w:rPr>
          <w:rFonts w:ascii="Arial" w:hAnsi="Arial" w:cs="Arial"/>
          <w:lang w:eastAsia="en-AU"/>
        </w:rPr>
      </w:pPr>
      <w:r w:rsidRPr="006C516E">
        <w:rPr>
          <w:rFonts w:ascii="Arial" w:hAnsi="Arial" w:cs="Arial"/>
          <w:b/>
          <w:lang w:eastAsia="en-AU"/>
        </w:rPr>
        <w:t>less</w:t>
      </w:r>
      <w:r w:rsidRPr="006C516E">
        <w:rPr>
          <w:rFonts w:ascii="Arial" w:hAnsi="Arial" w:cs="Arial"/>
          <w:lang w:eastAsia="en-AU"/>
        </w:rPr>
        <w:t xml:space="preserve"> any reductions in subsidy (means testing, compensation recovery and adjusted subsidy reduction for state government homes); </w:t>
      </w:r>
    </w:p>
    <w:p w14:paraId="5E341C4C" w14:textId="77777777" w:rsidR="00830DAA" w:rsidRPr="006C516E" w:rsidRDefault="00830DAA" w:rsidP="003A3029">
      <w:pPr>
        <w:pStyle w:val="ListParagraph"/>
        <w:numPr>
          <w:ilvl w:val="0"/>
          <w:numId w:val="14"/>
        </w:numPr>
        <w:spacing w:before="100" w:beforeAutospacing="1" w:after="100" w:afterAutospacing="1"/>
        <w:rPr>
          <w:rFonts w:ascii="Arial" w:hAnsi="Arial" w:cs="Arial"/>
          <w:lang w:eastAsia="en-AU"/>
        </w:rPr>
      </w:pPr>
      <w:r w:rsidRPr="006C516E">
        <w:rPr>
          <w:rFonts w:ascii="Arial" w:hAnsi="Arial" w:cs="Arial"/>
          <w:b/>
          <w:lang w:eastAsia="en-AU"/>
        </w:rPr>
        <w:t>plus</w:t>
      </w:r>
      <w:r w:rsidRPr="006C516E">
        <w:rPr>
          <w:rFonts w:ascii="Arial" w:hAnsi="Arial" w:cs="Arial"/>
          <w:lang w:eastAsia="en-AU"/>
        </w:rPr>
        <w:t xml:space="preserve"> any other supplements for each eligible care recipient (accommodation supplement, hardship supplement, viability supplement, veterans’ supplement, homeless supplement). </w:t>
      </w:r>
    </w:p>
    <w:p w14:paraId="102E737E" w14:textId="77777777" w:rsidR="00E657A9" w:rsidRPr="006C516E" w:rsidRDefault="00E657A9" w:rsidP="003A3029">
      <w:pPr>
        <w:rPr>
          <w:rFonts w:ascii="Arial" w:hAnsi="Arial" w:cs="Arial"/>
        </w:rPr>
      </w:pPr>
      <w:r w:rsidRPr="006C516E">
        <w:rPr>
          <w:rFonts w:ascii="Arial" w:hAnsi="Arial" w:cs="Arial"/>
        </w:rPr>
        <w:t>Assessments for ACFI are currently undertaken by a residential aged care provider after the seventh day of continuous care to allow a settling in period for the resident prior to</w:t>
      </w:r>
      <w:r w:rsidR="00830DAA" w:rsidRPr="006C516E">
        <w:rPr>
          <w:rFonts w:ascii="Arial" w:hAnsi="Arial" w:cs="Arial"/>
        </w:rPr>
        <w:t xml:space="preserve"> assessing the care and funding needs of the resident.</w:t>
      </w:r>
      <w:r w:rsidRPr="006C516E">
        <w:rPr>
          <w:rFonts w:ascii="Arial" w:hAnsi="Arial" w:cs="Arial"/>
        </w:rPr>
        <w:t xml:space="preserve"> </w:t>
      </w:r>
    </w:p>
    <w:p w14:paraId="6111611E" w14:textId="77777777" w:rsidR="00E657A9" w:rsidRPr="006C516E" w:rsidRDefault="00E657A9" w:rsidP="003A3029">
      <w:pPr>
        <w:rPr>
          <w:rFonts w:ascii="Arial" w:hAnsi="Arial" w:cs="Arial"/>
        </w:rPr>
      </w:pPr>
    </w:p>
    <w:p w14:paraId="72C7AC83" w14:textId="77777777" w:rsidR="00E657A9" w:rsidRPr="006C516E" w:rsidRDefault="00E657A9" w:rsidP="003A3029">
      <w:pPr>
        <w:rPr>
          <w:rFonts w:ascii="Arial" w:hAnsi="Arial" w:cs="Arial"/>
        </w:rPr>
      </w:pPr>
      <w:r w:rsidRPr="006C516E">
        <w:rPr>
          <w:rFonts w:ascii="Arial" w:hAnsi="Arial" w:cs="Arial"/>
        </w:rPr>
        <w:t>The Department has an ACFI Review Program which regulates ACFI claims made by approved providers under the</w:t>
      </w:r>
      <w:r w:rsidRPr="006C516E">
        <w:rPr>
          <w:rFonts w:ascii="Arial" w:hAnsi="Arial" w:cs="Arial"/>
          <w:i/>
          <w:iCs/>
        </w:rPr>
        <w:t xml:space="preserve"> Aged Care Act 1997</w:t>
      </w:r>
      <w:r w:rsidRPr="006C516E">
        <w:rPr>
          <w:rFonts w:ascii="Arial" w:hAnsi="Arial" w:cs="Arial"/>
        </w:rPr>
        <w:t xml:space="preserve">, Principles and the ACFI User </w:t>
      </w:r>
      <w:r w:rsidRPr="006C516E">
        <w:rPr>
          <w:rFonts w:ascii="Arial" w:hAnsi="Arial" w:cs="Arial"/>
        </w:rPr>
        <w:lastRenderedPageBreak/>
        <w:t>Guide. Reviews are undertaken by review officers who may upgrade, downgrade or validate a claim. Facilities are selected for ACFI reviews based on their review history and claiming patterns.</w:t>
      </w:r>
    </w:p>
    <w:p w14:paraId="71321E04" w14:textId="77777777" w:rsidR="008A22F8" w:rsidRPr="006C516E" w:rsidRDefault="008A22F8" w:rsidP="003A3029">
      <w:pPr>
        <w:rPr>
          <w:rFonts w:ascii="Arial" w:hAnsi="Arial" w:cs="Arial"/>
        </w:rPr>
      </w:pPr>
      <w:r w:rsidRPr="006C516E">
        <w:rPr>
          <w:rFonts w:ascii="Arial" w:hAnsi="Arial" w:cs="Arial"/>
        </w:rPr>
        <w:br w:type="page"/>
      </w:r>
    </w:p>
    <w:p w14:paraId="2AB6662E" w14:textId="77777777" w:rsidR="000C1CC5" w:rsidRPr="006C516E" w:rsidRDefault="000C1CC5" w:rsidP="003A3029">
      <w:pPr>
        <w:pStyle w:val="Heading1"/>
      </w:pPr>
      <w:bookmarkStart w:id="22" w:name="_Toc3383724"/>
      <w:r w:rsidRPr="006C516E">
        <w:lastRenderedPageBreak/>
        <w:t>Attachment B – Summary of the RUCS</w:t>
      </w:r>
      <w:bookmarkEnd w:id="22"/>
    </w:p>
    <w:p w14:paraId="327ACDC0" w14:textId="77777777" w:rsidR="005F0204" w:rsidRPr="006C516E" w:rsidRDefault="005F0204" w:rsidP="003A3029">
      <w:pPr>
        <w:autoSpaceDE w:val="0"/>
        <w:autoSpaceDN w:val="0"/>
        <w:adjustRightInd w:val="0"/>
        <w:rPr>
          <w:rFonts w:ascii="Arial" w:hAnsi="Arial" w:cs="Arial"/>
          <w:lang w:eastAsia="en-AU"/>
        </w:rPr>
      </w:pPr>
    </w:p>
    <w:p w14:paraId="2C340CD4" w14:textId="77777777" w:rsidR="00D30B1C" w:rsidRPr="006C516E" w:rsidRDefault="00D30B1C" w:rsidP="003A3029">
      <w:pPr>
        <w:autoSpaceDE w:val="0"/>
        <w:autoSpaceDN w:val="0"/>
        <w:adjustRightInd w:val="0"/>
        <w:rPr>
          <w:rFonts w:ascii="Arial" w:hAnsi="Arial" w:cs="Arial"/>
          <w:lang w:eastAsia="en-AU"/>
        </w:rPr>
      </w:pPr>
      <w:r w:rsidRPr="006C516E">
        <w:rPr>
          <w:rFonts w:ascii="Arial" w:hAnsi="Arial" w:cs="Arial"/>
          <w:lang w:eastAsia="en-AU"/>
        </w:rPr>
        <w:t>The RUCS comprised four separate but closely related studies. Each study included separate data collection and analysis elements that have been synthesised to produce a classification and associated funding model that is suitable for implementation across the Australian residential aged care sector.</w:t>
      </w:r>
    </w:p>
    <w:p w14:paraId="63DCDED4" w14:textId="77777777" w:rsidR="00D30B1C" w:rsidRPr="006C516E" w:rsidRDefault="00D30B1C" w:rsidP="003A3029">
      <w:pPr>
        <w:autoSpaceDE w:val="0"/>
        <w:autoSpaceDN w:val="0"/>
        <w:adjustRightInd w:val="0"/>
        <w:rPr>
          <w:rFonts w:ascii="Arial" w:hAnsi="Arial" w:cs="Arial"/>
          <w:lang w:eastAsia="en-AU"/>
        </w:rPr>
      </w:pPr>
    </w:p>
    <w:p w14:paraId="2B5D659A" w14:textId="77777777" w:rsidR="00D30B1C" w:rsidRPr="006C516E" w:rsidRDefault="00D30B1C" w:rsidP="003A3029">
      <w:pPr>
        <w:autoSpaceDE w:val="0"/>
        <w:autoSpaceDN w:val="0"/>
        <w:adjustRightInd w:val="0"/>
        <w:rPr>
          <w:rFonts w:ascii="Arial" w:hAnsi="Arial" w:cs="Arial"/>
          <w:b/>
          <w:bCs/>
          <w:i/>
          <w:iCs/>
          <w:lang w:eastAsia="en-AU"/>
        </w:rPr>
      </w:pPr>
      <w:r w:rsidRPr="006C516E">
        <w:rPr>
          <w:rFonts w:ascii="Arial" w:hAnsi="Arial" w:cs="Arial"/>
          <w:b/>
          <w:bCs/>
          <w:i/>
          <w:iCs/>
          <w:lang w:eastAsia="en-AU"/>
        </w:rPr>
        <w:t>Study One – Service utilisation and classification development study</w:t>
      </w:r>
    </w:p>
    <w:p w14:paraId="390F7EB7" w14:textId="77777777" w:rsidR="00D30B1C" w:rsidRPr="006C516E" w:rsidRDefault="00D30B1C" w:rsidP="003A3029">
      <w:pPr>
        <w:autoSpaceDE w:val="0"/>
        <w:autoSpaceDN w:val="0"/>
        <w:adjustRightInd w:val="0"/>
        <w:rPr>
          <w:rFonts w:ascii="Arial" w:hAnsi="Arial" w:cs="Arial"/>
          <w:lang w:eastAsia="en-AU"/>
        </w:rPr>
      </w:pPr>
      <w:r w:rsidRPr="006C516E">
        <w:rPr>
          <w:rFonts w:ascii="Arial" w:hAnsi="Arial" w:cs="Arial"/>
          <w:lang w:eastAsia="en-AU"/>
        </w:rPr>
        <w:t xml:space="preserve">Study One involved a prospective and comprehensive collection </w:t>
      </w:r>
      <w:r w:rsidR="005F0204" w:rsidRPr="006C516E">
        <w:rPr>
          <w:rFonts w:ascii="Arial" w:hAnsi="Arial" w:cs="Arial"/>
          <w:lang w:eastAsia="en-AU"/>
        </w:rPr>
        <w:t xml:space="preserve">of resident assessment, service </w:t>
      </w:r>
      <w:r w:rsidRPr="006C516E">
        <w:rPr>
          <w:rFonts w:ascii="Arial" w:hAnsi="Arial" w:cs="Arial"/>
          <w:lang w:eastAsia="en-AU"/>
        </w:rPr>
        <w:t>utilisation and financial data which were analysed to develop a casemix classification. Study</w:t>
      </w:r>
      <w:r w:rsidR="005F0204" w:rsidRPr="006C516E">
        <w:rPr>
          <w:rFonts w:ascii="Arial" w:hAnsi="Arial" w:cs="Arial"/>
          <w:lang w:eastAsia="en-AU"/>
        </w:rPr>
        <w:t xml:space="preserve"> </w:t>
      </w:r>
      <w:r w:rsidRPr="006C516E">
        <w:rPr>
          <w:rFonts w:ascii="Arial" w:hAnsi="Arial" w:cs="Arial"/>
          <w:lang w:eastAsia="en-AU"/>
        </w:rPr>
        <w:t>One involved 30 facilities clustered in three geographic regions in Queensland, New South</w:t>
      </w:r>
      <w:r w:rsidR="005F0204" w:rsidRPr="006C516E">
        <w:rPr>
          <w:rFonts w:ascii="Arial" w:hAnsi="Arial" w:cs="Arial"/>
          <w:lang w:eastAsia="en-AU"/>
        </w:rPr>
        <w:t xml:space="preserve"> </w:t>
      </w:r>
      <w:r w:rsidRPr="006C516E">
        <w:rPr>
          <w:rFonts w:ascii="Arial" w:hAnsi="Arial" w:cs="Arial"/>
          <w:lang w:eastAsia="en-AU"/>
        </w:rPr>
        <w:t>Wales and Victoria.</w:t>
      </w:r>
      <w:r w:rsidR="005F0204" w:rsidRPr="006C516E">
        <w:rPr>
          <w:rFonts w:ascii="Arial" w:hAnsi="Arial" w:cs="Arial"/>
          <w:lang w:eastAsia="en-AU"/>
        </w:rPr>
        <w:t xml:space="preserve"> </w:t>
      </w:r>
      <w:r w:rsidRPr="006C516E">
        <w:rPr>
          <w:rFonts w:ascii="Arial" w:hAnsi="Arial" w:cs="Arial"/>
          <w:lang w:eastAsia="en-AU"/>
        </w:rPr>
        <w:t>Study One was completed between October 2017 and October 2018.</w:t>
      </w:r>
    </w:p>
    <w:p w14:paraId="227D0E0C" w14:textId="77777777" w:rsidR="005F0204" w:rsidRPr="006C516E" w:rsidRDefault="005F0204" w:rsidP="003A3029">
      <w:pPr>
        <w:autoSpaceDE w:val="0"/>
        <w:autoSpaceDN w:val="0"/>
        <w:adjustRightInd w:val="0"/>
        <w:rPr>
          <w:rFonts w:ascii="Arial" w:hAnsi="Arial" w:cs="Arial"/>
          <w:lang w:eastAsia="en-AU"/>
        </w:rPr>
      </w:pPr>
    </w:p>
    <w:p w14:paraId="3290947D" w14:textId="77777777" w:rsidR="00D30B1C" w:rsidRPr="006C516E" w:rsidRDefault="00D30B1C" w:rsidP="003A3029">
      <w:pPr>
        <w:autoSpaceDE w:val="0"/>
        <w:autoSpaceDN w:val="0"/>
        <w:adjustRightInd w:val="0"/>
        <w:rPr>
          <w:rFonts w:ascii="Arial" w:hAnsi="Arial" w:cs="Arial"/>
          <w:b/>
          <w:bCs/>
          <w:i/>
          <w:iCs/>
          <w:lang w:eastAsia="en-AU"/>
        </w:rPr>
      </w:pPr>
      <w:r w:rsidRPr="006C516E">
        <w:rPr>
          <w:rFonts w:ascii="Arial" w:hAnsi="Arial" w:cs="Arial"/>
          <w:b/>
          <w:bCs/>
          <w:i/>
          <w:iCs/>
          <w:lang w:eastAsia="en-AU"/>
        </w:rPr>
        <w:t>Study Two – Fixed and variable cost analysis study</w:t>
      </w:r>
    </w:p>
    <w:p w14:paraId="6F9D46BD" w14:textId="77777777" w:rsidR="00D30B1C" w:rsidRPr="006C516E" w:rsidRDefault="00D30B1C" w:rsidP="003A3029">
      <w:pPr>
        <w:autoSpaceDE w:val="0"/>
        <w:autoSpaceDN w:val="0"/>
        <w:adjustRightInd w:val="0"/>
        <w:rPr>
          <w:rFonts w:ascii="Arial" w:hAnsi="Arial" w:cs="Arial"/>
          <w:lang w:eastAsia="en-AU"/>
        </w:rPr>
      </w:pPr>
      <w:r w:rsidRPr="006C516E">
        <w:rPr>
          <w:rFonts w:ascii="Arial" w:hAnsi="Arial" w:cs="Arial"/>
          <w:lang w:eastAsia="en-AU"/>
        </w:rPr>
        <w:t>Study Two involved a larger nationally representative sample of 110 facilities. The purpose of</w:t>
      </w:r>
      <w:r w:rsidR="005F0204" w:rsidRPr="006C516E">
        <w:rPr>
          <w:rFonts w:ascii="Arial" w:hAnsi="Arial" w:cs="Arial"/>
          <w:lang w:eastAsia="en-AU"/>
        </w:rPr>
        <w:t xml:space="preserve"> </w:t>
      </w:r>
      <w:r w:rsidRPr="006C516E">
        <w:rPr>
          <w:rFonts w:ascii="Arial" w:hAnsi="Arial" w:cs="Arial"/>
          <w:lang w:eastAsia="en-AU"/>
        </w:rPr>
        <w:t>this study was to understand differences in cost drivers between different types of facilities</w:t>
      </w:r>
      <w:r w:rsidR="005F0204" w:rsidRPr="006C516E">
        <w:rPr>
          <w:rFonts w:ascii="Arial" w:hAnsi="Arial" w:cs="Arial"/>
          <w:lang w:eastAsia="en-AU"/>
        </w:rPr>
        <w:t xml:space="preserve"> </w:t>
      </w:r>
      <w:r w:rsidRPr="006C516E">
        <w:rPr>
          <w:rFonts w:ascii="Arial" w:hAnsi="Arial" w:cs="Arial"/>
          <w:lang w:eastAsia="en-AU"/>
        </w:rPr>
        <w:t>(including facility size and location) as well as differences that may result from seasonal effects.</w:t>
      </w:r>
      <w:r w:rsidR="005F0204" w:rsidRPr="006C516E">
        <w:rPr>
          <w:rFonts w:ascii="Arial" w:hAnsi="Arial" w:cs="Arial"/>
          <w:lang w:eastAsia="en-AU"/>
        </w:rPr>
        <w:t xml:space="preserve"> </w:t>
      </w:r>
      <w:r w:rsidRPr="006C516E">
        <w:rPr>
          <w:rFonts w:ascii="Arial" w:hAnsi="Arial" w:cs="Arial"/>
          <w:lang w:eastAsia="en-AU"/>
        </w:rPr>
        <w:t>This analysis informed the design of the funding model. Study Two examined facility, rather</w:t>
      </w:r>
      <w:r w:rsidR="005F0204" w:rsidRPr="006C516E">
        <w:rPr>
          <w:rFonts w:ascii="Arial" w:hAnsi="Arial" w:cs="Arial"/>
          <w:lang w:eastAsia="en-AU"/>
        </w:rPr>
        <w:t xml:space="preserve"> </w:t>
      </w:r>
      <w:r w:rsidRPr="006C516E">
        <w:rPr>
          <w:rFonts w:ascii="Arial" w:hAnsi="Arial" w:cs="Arial"/>
          <w:lang w:eastAsia="en-AU"/>
        </w:rPr>
        <w:t>than resident, level costs.</w:t>
      </w:r>
      <w:r w:rsidR="005F0204" w:rsidRPr="006C516E">
        <w:rPr>
          <w:rFonts w:ascii="Arial" w:hAnsi="Arial" w:cs="Arial"/>
          <w:lang w:eastAsia="en-AU"/>
        </w:rPr>
        <w:t xml:space="preserve"> </w:t>
      </w:r>
      <w:r w:rsidRPr="006C516E">
        <w:rPr>
          <w:rFonts w:ascii="Arial" w:hAnsi="Arial" w:cs="Arial"/>
          <w:lang w:eastAsia="en-AU"/>
        </w:rPr>
        <w:t>Study Two was completed between November 2017 and October 2018.</w:t>
      </w:r>
    </w:p>
    <w:p w14:paraId="7FAFBDDD" w14:textId="77777777" w:rsidR="005F0204" w:rsidRPr="006C516E" w:rsidRDefault="005F0204" w:rsidP="003A3029">
      <w:pPr>
        <w:autoSpaceDE w:val="0"/>
        <w:autoSpaceDN w:val="0"/>
        <w:adjustRightInd w:val="0"/>
        <w:rPr>
          <w:rFonts w:ascii="Arial" w:hAnsi="Arial" w:cs="Arial"/>
          <w:lang w:eastAsia="en-AU"/>
        </w:rPr>
      </w:pPr>
    </w:p>
    <w:p w14:paraId="1413B535" w14:textId="77777777" w:rsidR="00D30B1C" w:rsidRPr="006C516E" w:rsidRDefault="00D30B1C" w:rsidP="003A3029">
      <w:pPr>
        <w:autoSpaceDE w:val="0"/>
        <w:autoSpaceDN w:val="0"/>
        <w:adjustRightInd w:val="0"/>
        <w:rPr>
          <w:rFonts w:ascii="Arial" w:hAnsi="Arial" w:cs="Arial"/>
          <w:b/>
          <w:bCs/>
          <w:i/>
          <w:iCs/>
          <w:lang w:eastAsia="en-AU"/>
        </w:rPr>
      </w:pPr>
      <w:r w:rsidRPr="006C516E">
        <w:rPr>
          <w:rFonts w:ascii="Arial" w:hAnsi="Arial" w:cs="Arial"/>
          <w:b/>
          <w:bCs/>
          <w:i/>
          <w:iCs/>
          <w:lang w:eastAsia="en-AU"/>
        </w:rPr>
        <w:t>Study Three – Casemix profiling study</w:t>
      </w:r>
    </w:p>
    <w:p w14:paraId="531B77B6" w14:textId="77777777" w:rsidR="00D30B1C" w:rsidRPr="006C516E" w:rsidRDefault="00D30B1C" w:rsidP="003A3029">
      <w:pPr>
        <w:autoSpaceDE w:val="0"/>
        <w:autoSpaceDN w:val="0"/>
        <w:adjustRightInd w:val="0"/>
        <w:rPr>
          <w:rFonts w:ascii="Arial" w:hAnsi="Arial" w:cs="Arial"/>
          <w:lang w:eastAsia="en-AU"/>
        </w:rPr>
      </w:pPr>
      <w:r w:rsidRPr="006C516E">
        <w:rPr>
          <w:rFonts w:ascii="Arial" w:hAnsi="Arial" w:cs="Arial"/>
          <w:lang w:eastAsia="en-AU"/>
        </w:rPr>
        <w:t>Study Three involved the collection of variables included in the classification from an additional</w:t>
      </w:r>
      <w:r w:rsidR="005F0204" w:rsidRPr="006C516E">
        <w:rPr>
          <w:rFonts w:ascii="Arial" w:hAnsi="Arial" w:cs="Arial"/>
          <w:lang w:eastAsia="en-AU"/>
        </w:rPr>
        <w:t xml:space="preserve"> </w:t>
      </w:r>
      <w:r w:rsidRPr="006C516E">
        <w:rPr>
          <w:rFonts w:ascii="Arial" w:hAnsi="Arial" w:cs="Arial"/>
          <w:lang w:eastAsia="en-AU"/>
        </w:rPr>
        <w:t>nationally representative sample of 69 facilities. In combination with the data from Study One,</w:t>
      </w:r>
      <w:r w:rsidR="005F0204" w:rsidRPr="006C516E">
        <w:rPr>
          <w:rFonts w:ascii="Arial" w:hAnsi="Arial" w:cs="Arial"/>
          <w:lang w:eastAsia="en-AU"/>
        </w:rPr>
        <w:t xml:space="preserve"> </w:t>
      </w:r>
      <w:r w:rsidRPr="006C516E">
        <w:rPr>
          <w:rFonts w:ascii="Arial" w:hAnsi="Arial" w:cs="Arial"/>
          <w:lang w:eastAsia="en-AU"/>
        </w:rPr>
        <w:t>the primary purpose of Study Three was to develop a national casemix profile of residents in</w:t>
      </w:r>
      <w:r w:rsidR="005F0204" w:rsidRPr="006C516E">
        <w:rPr>
          <w:rFonts w:ascii="Arial" w:hAnsi="Arial" w:cs="Arial"/>
          <w:lang w:eastAsia="en-AU"/>
        </w:rPr>
        <w:t xml:space="preserve"> </w:t>
      </w:r>
      <w:r w:rsidRPr="006C516E">
        <w:rPr>
          <w:rFonts w:ascii="Arial" w:hAnsi="Arial" w:cs="Arial"/>
          <w:lang w:eastAsia="en-AU"/>
        </w:rPr>
        <w:t>aged care in Australia.</w:t>
      </w:r>
      <w:r w:rsidR="005F0204" w:rsidRPr="006C516E">
        <w:rPr>
          <w:rFonts w:ascii="Arial" w:hAnsi="Arial" w:cs="Arial"/>
          <w:lang w:eastAsia="en-AU"/>
        </w:rPr>
        <w:t xml:space="preserve"> </w:t>
      </w:r>
      <w:r w:rsidRPr="006C516E">
        <w:rPr>
          <w:rFonts w:ascii="Arial" w:hAnsi="Arial" w:cs="Arial"/>
          <w:lang w:eastAsia="en-AU"/>
        </w:rPr>
        <w:t>Study Three was completed between September 2018 and December 2018.</w:t>
      </w:r>
    </w:p>
    <w:p w14:paraId="5FCC6991" w14:textId="77777777" w:rsidR="005F0204" w:rsidRPr="006C516E" w:rsidRDefault="005F0204" w:rsidP="003A3029">
      <w:pPr>
        <w:autoSpaceDE w:val="0"/>
        <w:autoSpaceDN w:val="0"/>
        <w:adjustRightInd w:val="0"/>
        <w:rPr>
          <w:rFonts w:ascii="Arial" w:hAnsi="Arial" w:cs="Arial"/>
          <w:lang w:eastAsia="en-AU"/>
        </w:rPr>
      </w:pPr>
    </w:p>
    <w:p w14:paraId="3FFAC175" w14:textId="77777777" w:rsidR="00D30B1C" w:rsidRPr="006C516E" w:rsidRDefault="00D30B1C" w:rsidP="003A3029">
      <w:pPr>
        <w:autoSpaceDE w:val="0"/>
        <w:autoSpaceDN w:val="0"/>
        <w:adjustRightInd w:val="0"/>
        <w:rPr>
          <w:rFonts w:ascii="Arial" w:hAnsi="Arial" w:cs="Arial"/>
          <w:b/>
          <w:bCs/>
          <w:i/>
          <w:iCs/>
          <w:lang w:eastAsia="en-AU"/>
        </w:rPr>
      </w:pPr>
      <w:r w:rsidRPr="006C516E">
        <w:rPr>
          <w:rFonts w:ascii="Arial" w:hAnsi="Arial" w:cs="Arial"/>
          <w:b/>
          <w:bCs/>
          <w:i/>
          <w:iCs/>
          <w:lang w:eastAsia="en-AU"/>
        </w:rPr>
        <w:t>Study Four – Reassessment study</w:t>
      </w:r>
    </w:p>
    <w:p w14:paraId="11DC80EB" w14:textId="77777777" w:rsidR="000C1CC5" w:rsidRPr="006C516E" w:rsidRDefault="00D30B1C" w:rsidP="003A3029">
      <w:pPr>
        <w:autoSpaceDE w:val="0"/>
        <w:autoSpaceDN w:val="0"/>
        <w:adjustRightInd w:val="0"/>
        <w:rPr>
          <w:rFonts w:ascii="Arial" w:hAnsi="Arial" w:cs="Arial"/>
          <w:b/>
          <w:bCs/>
          <w:kern w:val="28"/>
        </w:rPr>
      </w:pPr>
      <w:r w:rsidRPr="006C516E">
        <w:rPr>
          <w:rFonts w:ascii="Arial" w:hAnsi="Arial" w:cs="Arial"/>
          <w:lang w:eastAsia="en-AU"/>
        </w:rPr>
        <w:t>Study Four was added to the RUCS work program in mid-2018 in recognition of value that could</w:t>
      </w:r>
      <w:r w:rsidR="005F0204" w:rsidRPr="006C516E">
        <w:rPr>
          <w:rFonts w:ascii="Arial" w:hAnsi="Arial" w:cs="Arial"/>
          <w:lang w:eastAsia="en-AU"/>
        </w:rPr>
        <w:t xml:space="preserve"> </w:t>
      </w:r>
      <w:r w:rsidRPr="006C516E">
        <w:rPr>
          <w:rFonts w:ascii="Arial" w:hAnsi="Arial" w:cs="Arial"/>
          <w:lang w:eastAsia="en-AU"/>
        </w:rPr>
        <w:t>be added by collecting additional information about the rate and extent of change in residents’</w:t>
      </w:r>
      <w:r w:rsidR="005F0204" w:rsidRPr="006C516E">
        <w:rPr>
          <w:rFonts w:ascii="Arial" w:hAnsi="Arial" w:cs="Arial"/>
          <w:lang w:eastAsia="en-AU"/>
        </w:rPr>
        <w:t xml:space="preserve"> </w:t>
      </w:r>
      <w:r w:rsidRPr="006C516E">
        <w:rPr>
          <w:rFonts w:ascii="Arial" w:hAnsi="Arial" w:cs="Arial"/>
          <w:lang w:eastAsia="en-AU"/>
        </w:rPr>
        <w:t>care needs over time. Study Four involved conducting re-assessments of approximately half of</w:t>
      </w:r>
      <w:r w:rsidR="005F0204" w:rsidRPr="006C516E">
        <w:rPr>
          <w:rFonts w:ascii="Arial" w:hAnsi="Arial" w:cs="Arial"/>
          <w:lang w:eastAsia="en-AU"/>
        </w:rPr>
        <w:t xml:space="preserve"> </w:t>
      </w:r>
      <w:r w:rsidRPr="006C516E">
        <w:rPr>
          <w:rFonts w:ascii="Arial" w:hAnsi="Arial" w:cs="Arial"/>
          <w:lang w:eastAsia="en-AU"/>
        </w:rPr>
        <w:t>the residents assessed as part of Study One four to six months after their initial</w:t>
      </w:r>
      <w:r w:rsidR="005F0204" w:rsidRPr="006C516E">
        <w:rPr>
          <w:rFonts w:ascii="Arial" w:hAnsi="Arial" w:cs="Arial"/>
          <w:lang w:eastAsia="en-AU"/>
        </w:rPr>
        <w:t xml:space="preserve"> assessment. Study Four was completed between August 2018 and December 2018.</w:t>
      </w:r>
      <w:r w:rsidR="000C1CC5" w:rsidRPr="006C516E">
        <w:rPr>
          <w:rFonts w:ascii="Arial" w:hAnsi="Arial" w:cs="Arial"/>
        </w:rPr>
        <w:br w:type="page"/>
      </w:r>
    </w:p>
    <w:p w14:paraId="534A81ED" w14:textId="49FEB8A9" w:rsidR="000C1CC5" w:rsidRPr="006C516E" w:rsidRDefault="000C1CC5" w:rsidP="003A3029">
      <w:pPr>
        <w:pStyle w:val="Heading1"/>
      </w:pPr>
      <w:bookmarkStart w:id="23" w:name="_Toc3383725"/>
      <w:r w:rsidRPr="006C516E">
        <w:lastRenderedPageBreak/>
        <w:t xml:space="preserve">Attachment C – </w:t>
      </w:r>
      <w:r w:rsidR="00E701F6" w:rsidRPr="006C516E">
        <w:t>T</w:t>
      </w:r>
      <w:r w:rsidRPr="006C516E">
        <w:t>he RUCS Reports</w:t>
      </w:r>
      <w:bookmarkEnd w:id="23"/>
    </w:p>
    <w:p w14:paraId="6C6730AB" w14:textId="77777777" w:rsidR="00D30B1C" w:rsidRPr="006C516E" w:rsidRDefault="00D30B1C" w:rsidP="003A3029">
      <w:pPr>
        <w:autoSpaceDE w:val="0"/>
        <w:autoSpaceDN w:val="0"/>
        <w:adjustRightInd w:val="0"/>
        <w:rPr>
          <w:rFonts w:ascii="Arial" w:hAnsi="Arial" w:cs="Arial"/>
          <w:lang w:eastAsia="en-AU"/>
        </w:rPr>
      </w:pPr>
      <w:r w:rsidRPr="006C516E">
        <w:rPr>
          <w:rFonts w:ascii="Arial" w:hAnsi="Arial" w:cs="Arial"/>
          <w:lang w:eastAsia="en-AU"/>
        </w:rPr>
        <w:t>AHSRI have produced a suite of seven reports on the key elements of the RUCS</w:t>
      </w:r>
    </w:p>
    <w:p w14:paraId="4DC30C94" w14:textId="77777777" w:rsidR="00D30B1C" w:rsidRPr="006C516E" w:rsidRDefault="00D30B1C" w:rsidP="003A3029">
      <w:pPr>
        <w:autoSpaceDE w:val="0"/>
        <w:autoSpaceDN w:val="0"/>
        <w:adjustRightInd w:val="0"/>
        <w:rPr>
          <w:rFonts w:ascii="Arial" w:hAnsi="Arial" w:cs="Arial"/>
          <w:lang w:eastAsia="en-AU"/>
        </w:rPr>
      </w:pPr>
    </w:p>
    <w:p w14:paraId="4EC6585D" w14:textId="77777777" w:rsidR="00D30B1C" w:rsidRPr="006C516E" w:rsidRDefault="00D30B1C" w:rsidP="003A3029">
      <w:pPr>
        <w:autoSpaceDE w:val="0"/>
        <w:autoSpaceDN w:val="0"/>
        <w:adjustRightInd w:val="0"/>
        <w:rPr>
          <w:rFonts w:ascii="Arial" w:hAnsi="Arial" w:cs="Arial"/>
          <w:b/>
          <w:bCs/>
          <w:lang w:eastAsia="en-AU"/>
        </w:rPr>
      </w:pPr>
      <w:r w:rsidRPr="006C516E">
        <w:rPr>
          <w:rFonts w:ascii="Arial" w:hAnsi="Arial" w:cs="Arial"/>
          <w:b/>
          <w:bCs/>
          <w:lang w:eastAsia="en-AU"/>
        </w:rPr>
        <w:t>Report 1: The Australian National Aged Care Classification (AN-ACC)</w:t>
      </w:r>
    </w:p>
    <w:p w14:paraId="2A38D662" w14:textId="77777777" w:rsidR="00D30B1C" w:rsidRPr="006C516E" w:rsidRDefault="00D30B1C" w:rsidP="003A3029">
      <w:pPr>
        <w:autoSpaceDE w:val="0"/>
        <w:autoSpaceDN w:val="0"/>
        <w:adjustRightInd w:val="0"/>
        <w:rPr>
          <w:rFonts w:ascii="Arial" w:hAnsi="Arial" w:cs="Arial"/>
          <w:lang w:eastAsia="en-AU"/>
        </w:rPr>
      </w:pPr>
      <w:r w:rsidRPr="006C516E">
        <w:rPr>
          <w:rFonts w:ascii="Arial" w:hAnsi="Arial" w:cs="Arial"/>
          <w:lang w:eastAsia="en-AU"/>
        </w:rPr>
        <w:t>Report 1 covers the design and conduct of the study undertaken to develop the Australian</w:t>
      </w:r>
      <w:r w:rsidR="005F0204" w:rsidRPr="006C516E">
        <w:rPr>
          <w:rFonts w:ascii="Arial" w:hAnsi="Arial" w:cs="Arial"/>
          <w:lang w:eastAsia="en-AU"/>
        </w:rPr>
        <w:t xml:space="preserve"> </w:t>
      </w:r>
      <w:r w:rsidRPr="006C516E">
        <w:rPr>
          <w:rFonts w:ascii="Arial" w:hAnsi="Arial" w:cs="Arial"/>
          <w:lang w:eastAsia="en-AU"/>
        </w:rPr>
        <w:t>National Aged Care Classification (AN-ACC) Version 1.0 (Study One). It covers the design and use of the AN-ACC assessment tool and the resource utilisation study undertaken to develop AN-ACC Version 1.0, including the preparation and analysis of the data collection. It discusses the results, the classification development process and key outcomes including the statistical analysis and clinical validation.</w:t>
      </w:r>
    </w:p>
    <w:p w14:paraId="618524F9" w14:textId="77777777" w:rsidR="005F0204" w:rsidRPr="006C516E" w:rsidRDefault="005F0204" w:rsidP="003A3029">
      <w:pPr>
        <w:autoSpaceDE w:val="0"/>
        <w:autoSpaceDN w:val="0"/>
        <w:adjustRightInd w:val="0"/>
        <w:rPr>
          <w:rFonts w:ascii="Arial" w:hAnsi="Arial" w:cs="Arial"/>
          <w:lang w:eastAsia="en-AU"/>
        </w:rPr>
      </w:pPr>
    </w:p>
    <w:p w14:paraId="4BE84736" w14:textId="77777777" w:rsidR="00D30B1C" w:rsidRPr="006C516E" w:rsidRDefault="00D30B1C" w:rsidP="003A3029">
      <w:pPr>
        <w:autoSpaceDE w:val="0"/>
        <w:autoSpaceDN w:val="0"/>
        <w:adjustRightInd w:val="0"/>
        <w:rPr>
          <w:rFonts w:ascii="Arial" w:hAnsi="Arial" w:cs="Arial"/>
          <w:b/>
          <w:bCs/>
          <w:lang w:eastAsia="en-AU"/>
        </w:rPr>
      </w:pPr>
      <w:r w:rsidRPr="006C516E">
        <w:rPr>
          <w:rFonts w:ascii="Arial" w:hAnsi="Arial" w:cs="Arial"/>
          <w:b/>
          <w:bCs/>
          <w:lang w:eastAsia="en-AU"/>
        </w:rPr>
        <w:t>Report 2: The AN-ACC assessment model</w:t>
      </w:r>
    </w:p>
    <w:p w14:paraId="2900CBE5" w14:textId="77777777" w:rsidR="00D30B1C" w:rsidRPr="006C516E" w:rsidRDefault="00D30B1C" w:rsidP="003A3029">
      <w:pPr>
        <w:autoSpaceDE w:val="0"/>
        <w:autoSpaceDN w:val="0"/>
        <w:adjustRightInd w:val="0"/>
        <w:rPr>
          <w:rFonts w:ascii="Arial" w:hAnsi="Arial" w:cs="Arial"/>
          <w:lang w:eastAsia="en-AU"/>
        </w:rPr>
      </w:pPr>
      <w:r w:rsidRPr="006C516E">
        <w:rPr>
          <w:rFonts w:ascii="Arial" w:hAnsi="Arial" w:cs="Arial"/>
          <w:lang w:eastAsia="en-AU"/>
        </w:rPr>
        <w:t>Report 2 presents detailed findings relating to the external assessment tool and assessment</w:t>
      </w:r>
      <w:r w:rsidR="005F0204" w:rsidRPr="006C516E">
        <w:rPr>
          <w:rFonts w:ascii="Arial" w:hAnsi="Arial" w:cs="Arial"/>
          <w:lang w:eastAsia="en-AU"/>
        </w:rPr>
        <w:t xml:space="preserve"> </w:t>
      </w:r>
      <w:r w:rsidRPr="006C516E">
        <w:rPr>
          <w:rFonts w:ascii="Arial" w:hAnsi="Arial" w:cs="Arial"/>
          <w:lang w:eastAsia="en-AU"/>
        </w:rPr>
        <w:t>process (informed by Studies One, Three and Four). This includes the development of the</w:t>
      </w:r>
      <w:r w:rsidR="005F0204" w:rsidRPr="006C516E">
        <w:rPr>
          <w:rFonts w:ascii="Arial" w:hAnsi="Arial" w:cs="Arial"/>
          <w:lang w:eastAsia="en-AU"/>
        </w:rPr>
        <w:t xml:space="preserve"> </w:t>
      </w:r>
      <w:r w:rsidRPr="006C516E">
        <w:rPr>
          <w:rFonts w:ascii="Arial" w:hAnsi="Arial" w:cs="Arial"/>
          <w:lang w:eastAsia="en-AU"/>
        </w:rPr>
        <w:t>assessment tool using expert clinical panels and a summary of feedback from assessors</w:t>
      </w:r>
      <w:r w:rsidR="005F0204" w:rsidRPr="006C516E">
        <w:rPr>
          <w:rFonts w:ascii="Arial" w:hAnsi="Arial" w:cs="Arial"/>
          <w:lang w:eastAsia="en-AU"/>
        </w:rPr>
        <w:t xml:space="preserve"> </w:t>
      </w:r>
      <w:r w:rsidRPr="006C516E">
        <w:rPr>
          <w:rFonts w:ascii="Arial" w:hAnsi="Arial" w:cs="Arial"/>
          <w:lang w:eastAsia="en-AU"/>
        </w:rPr>
        <w:t>regarding the use of the tool and the suitability of individual instruments. The skills and</w:t>
      </w:r>
      <w:r w:rsidR="005F0204" w:rsidRPr="006C516E">
        <w:rPr>
          <w:rFonts w:ascii="Arial" w:hAnsi="Arial" w:cs="Arial"/>
          <w:lang w:eastAsia="en-AU"/>
        </w:rPr>
        <w:t xml:space="preserve"> </w:t>
      </w:r>
      <w:r w:rsidRPr="006C516E">
        <w:rPr>
          <w:rFonts w:ascii="Arial" w:hAnsi="Arial" w:cs="Arial"/>
          <w:lang w:eastAsia="en-AU"/>
        </w:rPr>
        <w:t>competencies required for the assessment workforce and other implications for</w:t>
      </w:r>
      <w:r w:rsidR="005F0204" w:rsidRPr="006C516E">
        <w:rPr>
          <w:rFonts w:ascii="Arial" w:hAnsi="Arial" w:cs="Arial"/>
          <w:lang w:eastAsia="en-AU"/>
        </w:rPr>
        <w:t xml:space="preserve"> </w:t>
      </w:r>
      <w:r w:rsidRPr="006C516E">
        <w:rPr>
          <w:rFonts w:ascii="Arial" w:hAnsi="Arial" w:cs="Arial"/>
          <w:lang w:eastAsia="en-AU"/>
        </w:rPr>
        <w:t>implementation of the external assessment model are considered as well as triggers and</w:t>
      </w:r>
      <w:r w:rsidR="005F0204" w:rsidRPr="006C516E">
        <w:rPr>
          <w:rFonts w:ascii="Arial" w:hAnsi="Arial" w:cs="Arial"/>
          <w:lang w:eastAsia="en-AU"/>
        </w:rPr>
        <w:t xml:space="preserve"> </w:t>
      </w:r>
      <w:r w:rsidRPr="006C516E">
        <w:rPr>
          <w:rFonts w:ascii="Arial" w:hAnsi="Arial" w:cs="Arial"/>
          <w:lang w:eastAsia="en-AU"/>
        </w:rPr>
        <w:t>protocols for reassessment.</w:t>
      </w:r>
    </w:p>
    <w:p w14:paraId="1E9ACB89" w14:textId="77777777" w:rsidR="005F0204" w:rsidRPr="006C516E" w:rsidRDefault="005F0204" w:rsidP="003A3029">
      <w:pPr>
        <w:autoSpaceDE w:val="0"/>
        <w:autoSpaceDN w:val="0"/>
        <w:adjustRightInd w:val="0"/>
        <w:rPr>
          <w:rFonts w:ascii="Arial" w:hAnsi="Arial" w:cs="Arial"/>
          <w:lang w:eastAsia="en-AU"/>
        </w:rPr>
      </w:pPr>
    </w:p>
    <w:p w14:paraId="337F1B37" w14:textId="77777777" w:rsidR="00D30B1C" w:rsidRPr="006C516E" w:rsidRDefault="00D30B1C" w:rsidP="003A3029">
      <w:pPr>
        <w:autoSpaceDE w:val="0"/>
        <w:autoSpaceDN w:val="0"/>
        <w:adjustRightInd w:val="0"/>
        <w:rPr>
          <w:rFonts w:ascii="Arial" w:hAnsi="Arial" w:cs="Arial"/>
          <w:b/>
          <w:bCs/>
          <w:lang w:eastAsia="en-AU"/>
        </w:rPr>
      </w:pPr>
      <w:r w:rsidRPr="006C516E">
        <w:rPr>
          <w:rFonts w:ascii="Arial" w:hAnsi="Arial" w:cs="Arial"/>
          <w:b/>
          <w:bCs/>
          <w:lang w:eastAsia="en-AU"/>
        </w:rPr>
        <w:t>Report 3: Structural and individual costs of residential aged care services in Australia</w:t>
      </w:r>
    </w:p>
    <w:p w14:paraId="2E43DBA8" w14:textId="77777777" w:rsidR="00D30B1C" w:rsidRPr="006C516E" w:rsidRDefault="00D30B1C" w:rsidP="003A3029">
      <w:pPr>
        <w:autoSpaceDE w:val="0"/>
        <w:autoSpaceDN w:val="0"/>
        <w:adjustRightInd w:val="0"/>
        <w:rPr>
          <w:rFonts w:ascii="Arial" w:hAnsi="Arial" w:cs="Arial"/>
          <w:lang w:eastAsia="en-AU"/>
        </w:rPr>
      </w:pPr>
      <w:r w:rsidRPr="006C516E">
        <w:rPr>
          <w:rFonts w:ascii="Arial" w:hAnsi="Arial" w:cs="Arial"/>
          <w:lang w:eastAsia="en-AU"/>
        </w:rPr>
        <w:t>Report 3 presents the analysis and findings of Study Two which identified the proportions of</w:t>
      </w:r>
      <w:r w:rsidR="005F0204" w:rsidRPr="006C516E">
        <w:rPr>
          <w:rFonts w:ascii="Arial" w:hAnsi="Arial" w:cs="Arial"/>
          <w:lang w:eastAsia="en-AU"/>
        </w:rPr>
        <w:t xml:space="preserve"> </w:t>
      </w:r>
      <w:r w:rsidRPr="006C516E">
        <w:rPr>
          <w:rFonts w:ascii="Arial" w:hAnsi="Arial" w:cs="Arial"/>
          <w:lang w:eastAsia="en-AU"/>
        </w:rPr>
        <w:t>total care costs that are fixed (including shared care) and variable (relating to individualised</w:t>
      </w:r>
      <w:r w:rsidR="005F0204" w:rsidRPr="006C516E">
        <w:rPr>
          <w:rFonts w:ascii="Arial" w:hAnsi="Arial" w:cs="Arial"/>
          <w:lang w:eastAsia="en-AU"/>
        </w:rPr>
        <w:t xml:space="preserve"> </w:t>
      </w:r>
      <w:r w:rsidRPr="006C516E">
        <w:rPr>
          <w:rFonts w:ascii="Arial" w:hAnsi="Arial" w:cs="Arial"/>
          <w:lang w:eastAsia="en-AU"/>
        </w:rPr>
        <w:t>resident care). The analysis focused on the differences in fixed costs between different</w:t>
      </w:r>
      <w:r w:rsidR="005F0204" w:rsidRPr="006C516E">
        <w:rPr>
          <w:rFonts w:ascii="Arial" w:hAnsi="Arial" w:cs="Arial"/>
          <w:lang w:eastAsia="en-AU"/>
        </w:rPr>
        <w:t xml:space="preserve"> </w:t>
      </w:r>
      <w:r w:rsidRPr="006C516E">
        <w:rPr>
          <w:rFonts w:ascii="Arial" w:hAnsi="Arial" w:cs="Arial"/>
          <w:lang w:eastAsia="en-AU"/>
        </w:rPr>
        <w:t>types of facilities, characterised by ownership, size, remoteness and service specialisation.</w:t>
      </w:r>
      <w:r w:rsidR="005F0204" w:rsidRPr="006C516E">
        <w:rPr>
          <w:rFonts w:ascii="Arial" w:hAnsi="Arial" w:cs="Arial"/>
          <w:lang w:eastAsia="en-AU"/>
        </w:rPr>
        <w:t xml:space="preserve"> </w:t>
      </w:r>
      <w:r w:rsidRPr="006C516E">
        <w:rPr>
          <w:rFonts w:ascii="Arial" w:hAnsi="Arial" w:cs="Arial"/>
          <w:lang w:eastAsia="en-AU"/>
        </w:rPr>
        <w:t>It includes an analysis of the drivers of fixed care costs.</w:t>
      </w:r>
    </w:p>
    <w:p w14:paraId="7C4E8B3A" w14:textId="77777777" w:rsidR="005F0204" w:rsidRPr="006C516E" w:rsidRDefault="005F0204" w:rsidP="003A3029">
      <w:pPr>
        <w:autoSpaceDE w:val="0"/>
        <w:autoSpaceDN w:val="0"/>
        <w:adjustRightInd w:val="0"/>
        <w:rPr>
          <w:rFonts w:ascii="Arial" w:hAnsi="Arial" w:cs="Arial"/>
          <w:b/>
          <w:bCs/>
          <w:lang w:eastAsia="en-AU"/>
        </w:rPr>
      </w:pPr>
    </w:p>
    <w:p w14:paraId="6C40300C" w14:textId="77777777" w:rsidR="00D30B1C" w:rsidRPr="006C516E" w:rsidRDefault="00D30B1C" w:rsidP="003A3029">
      <w:pPr>
        <w:autoSpaceDE w:val="0"/>
        <w:autoSpaceDN w:val="0"/>
        <w:adjustRightInd w:val="0"/>
        <w:rPr>
          <w:rFonts w:ascii="Arial" w:hAnsi="Arial" w:cs="Arial"/>
          <w:b/>
          <w:bCs/>
          <w:lang w:eastAsia="en-AU"/>
        </w:rPr>
      </w:pPr>
      <w:r w:rsidRPr="006C516E">
        <w:rPr>
          <w:rFonts w:ascii="Arial" w:hAnsi="Arial" w:cs="Arial"/>
          <w:b/>
          <w:bCs/>
          <w:lang w:eastAsia="en-AU"/>
        </w:rPr>
        <w:t>Report 4: Modelling the impact of the AN-ACC in Australia</w:t>
      </w:r>
    </w:p>
    <w:p w14:paraId="75801F7D" w14:textId="77777777" w:rsidR="00D30B1C" w:rsidRPr="006C516E" w:rsidRDefault="00D30B1C" w:rsidP="003A3029">
      <w:pPr>
        <w:autoSpaceDE w:val="0"/>
        <w:autoSpaceDN w:val="0"/>
        <w:adjustRightInd w:val="0"/>
        <w:rPr>
          <w:rFonts w:ascii="Arial" w:hAnsi="Arial" w:cs="Arial"/>
          <w:lang w:eastAsia="en-AU"/>
        </w:rPr>
      </w:pPr>
      <w:r w:rsidRPr="006C516E">
        <w:rPr>
          <w:rFonts w:ascii="Arial" w:hAnsi="Arial" w:cs="Arial"/>
          <w:lang w:eastAsia="en-AU"/>
        </w:rPr>
        <w:t>Report 4 presents an analysis of modelling the introduction of the AN-ACC across Australia.</w:t>
      </w:r>
      <w:r w:rsidR="005F0204" w:rsidRPr="006C516E">
        <w:rPr>
          <w:rFonts w:ascii="Arial" w:hAnsi="Arial" w:cs="Arial"/>
          <w:lang w:eastAsia="en-AU"/>
        </w:rPr>
        <w:t xml:space="preserve"> </w:t>
      </w:r>
      <w:r w:rsidRPr="006C516E">
        <w:rPr>
          <w:rFonts w:ascii="Arial" w:hAnsi="Arial" w:cs="Arial"/>
          <w:lang w:eastAsia="en-AU"/>
        </w:rPr>
        <w:t>This is based on the findings of Study Three. The sampling and assessment data collection</w:t>
      </w:r>
      <w:r w:rsidR="005F0204" w:rsidRPr="006C516E">
        <w:rPr>
          <w:rFonts w:ascii="Arial" w:hAnsi="Arial" w:cs="Arial"/>
          <w:lang w:eastAsia="en-AU"/>
        </w:rPr>
        <w:t xml:space="preserve"> </w:t>
      </w:r>
      <w:r w:rsidRPr="006C516E">
        <w:rPr>
          <w:rFonts w:ascii="Arial" w:hAnsi="Arial" w:cs="Arial"/>
          <w:lang w:eastAsia="en-AU"/>
        </w:rPr>
        <w:t>process and the casemix of residents in aged care across Australia are described. The focus</w:t>
      </w:r>
      <w:r w:rsidR="005F0204" w:rsidRPr="006C516E">
        <w:rPr>
          <w:rFonts w:ascii="Arial" w:hAnsi="Arial" w:cs="Arial"/>
          <w:lang w:eastAsia="en-AU"/>
        </w:rPr>
        <w:t xml:space="preserve"> </w:t>
      </w:r>
      <w:r w:rsidRPr="006C516E">
        <w:rPr>
          <w:rFonts w:ascii="Arial" w:hAnsi="Arial" w:cs="Arial"/>
          <w:lang w:eastAsia="en-AU"/>
        </w:rPr>
        <w:t>of this report is on modelling the introduction of the AN-ACC to replace the ACFI.</w:t>
      </w:r>
    </w:p>
    <w:p w14:paraId="4F44E43D" w14:textId="77777777" w:rsidR="005F0204" w:rsidRPr="006C516E" w:rsidRDefault="005F0204" w:rsidP="003A3029">
      <w:pPr>
        <w:autoSpaceDE w:val="0"/>
        <w:autoSpaceDN w:val="0"/>
        <w:adjustRightInd w:val="0"/>
        <w:rPr>
          <w:rFonts w:ascii="Arial" w:hAnsi="Arial" w:cs="Arial"/>
          <w:lang w:eastAsia="en-AU"/>
        </w:rPr>
      </w:pPr>
    </w:p>
    <w:p w14:paraId="20F4CC4F" w14:textId="77777777" w:rsidR="00D30B1C" w:rsidRPr="006C516E" w:rsidRDefault="00D30B1C" w:rsidP="003A3029">
      <w:pPr>
        <w:autoSpaceDE w:val="0"/>
        <w:autoSpaceDN w:val="0"/>
        <w:adjustRightInd w:val="0"/>
        <w:rPr>
          <w:rFonts w:ascii="Arial" w:hAnsi="Arial" w:cs="Arial"/>
          <w:b/>
          <w:bCs/>
          <w:lang w:eastAsia="en-AU"/>
        </w:rPr>
      </w:pPr>
      <w:r w:rsidRPr="006C516E">
        <w:rPr>
          <w:rFonts w:ascii="Arial" w:hAnsi="Arial" w:cs="Arial"/>
          <w:b/>
          <w:bCs/>
          <w:lang w:eastAsia="en-AU"/>
        </w:rPr>
        <w:t>Report 5: AN-ACC: A funding model for the residential aged care sector</w:t>
      </w:r>
    </w:p>
    <w:p w14:paraId="6A4EA580" w14:textId="77777777" w:rsidR="005F0204" w:rsidRPr="006C516E" w:rsidRDefault="00D30B1C" w:rsidP="003A3029">
      <w:pPr>
        <w:autoSpaceDE w:val="0"/>
        <w:autoSpaceDN w:val="0"/>
        <w:adjustRightInd w:val="0"/>
        <w:rPr>
          <w:rFonts w:ascii="Arial" w:hAnsi="Arial" w:cs="Arial"/>
          <w:lang w:eastAsia="en-AU"/>
        </w:rPr>
      </w:pPr>
      <w:r w:rsidRPr="006C516E">
        <w:rPr>
          <w:rFonts w:ascii="Arial" w:hAnsi="Arial" w:cs="Arial"/>
          <w:lang w:eastAsia="en-AU"/>
        </w:rPr>
        <w:t>Report 5 presents the design of a new funding model based on the AN-ACC. It includes a</w:t>
      </w:r>
      <w:r w:rsidR="005F0204" w:rsidRPr="006C516E">
        <w:rPr>
          <w:rFonts w:ascii="Arial" w:hAnsi="Arial" w:cs="Arial"/>
          <w:lang w:eastAsia="en-AU"/>
        </w:rPr>
        <w:t xml:space="preserve"> </w:t>
      </w:r>
      <w:r w:rsidRPr="006C516E">
        <w:rPr>
          <w:rFonts w:ascii="Arial" w:hAnsi="Arial" w:cs="Arial"/>
          <w:lang w:eastAsia="en-AU"/>
        </w:rPr>
        <w:t>consideration of other payment issues such as existing payment supplements, a discussion</w:t>
      </w:r>
      <w:r w:rsidR="005F0204" w:rsidRPr="006C516E">
        <w:rPr>
          <w:rFonts w:ascii="Arial" w:hAnsi="Arial" w:cs="Arial"/>
          <w:lang w:eastAsia="en-AU"/>
        </w:rPr>
        <w:t xml:space="preserve"> </w:t>
      </w:r>
      <w:r w:rsidRPr="006C516E">
        <w:rPr>
          <w:rFonts w:ascii="Arial" w:hAnsi="Arial" w:cs="Arial"/>
          <w:lang w:eastAsia="en-AU"/>
        </w:rPr>
        <w:t>of incentives in funding model design and key issues in implementing the new model.</w:t>
      </w:r>
    </w:p>
    <w:p w14:paraId="662FFF2E" w14:textId="77777777" w:rsidR="005F0204" w:rsidRPr="006C516E" w:rsidRDefault="005F0204" w:rsidP="003A3029">
      <w:pPr>
        <w:autoSpaceDE w:val="0"/>
        <w:autoSpaceDN w:val="0"/>
        <w:adjustRightInd w:val="0"/>
        <w:rPr>
          <w:rFonts w:ascii="Arial" w:hAnsi="Arial" w:cs="Arial"/>
          <w:lang w:eastAsia="en-AU"/>
        </w:rPr>
      </w:pPr>
    </w:p>
    <w:p w14:paraId="5A5D8630" w14:textId="77777777" w:rsidR="00D30B1C" w:rsidRPr="006C516E" w:rsidRDefault="00D30B1C" w:rsidP="003A3029">
      <w:pPr>
        <w:autoSpaceDE w:val="0"/>
        <w:autoSpaceDN w:val="0"/>
        <w:adjustRightInd w:val="0"/>
        <w:rPr>
          <w:rFonts w:ascii="Arial" w:hAnsi="Arial" w:cs="Arial"/>
          <w:b/>
          <w:bCs/>
          <w:lang w:eastAsia="en-AU"/>
        </w:rPr>
      </w:pPr>
      <w:r w:rsidRPr="006C516E">
        <w:rPr>
          <w:rFonts w:ascii="Arial" w:hAnsi="Arial" w:cs="Arial"/>
          <w:b/>
          <w:bCs/>
          <w:lang w:eastAsia="en-AU"/>
        </w:rPr>
        <w:t>Report 6: AN-ACC: A national classification and funding model for residentia</w:t>
      </w:r>
      <w:r w:rsidR="005F0204" w:rsidRPr="006C516E">
        <w:rPr>
          <w:rFonts w:ascii="Arial" w:hAnsi="Arial" w:cs="Arial"/>
          <w:b/>
          <w:bCs/>
          <w:lang w:eastAsia="en-AU"/>
        </w:rPr>
        <w:t xml:space="preserve">l aged care: </w:t>
      </w:r>
      <w:r w:rsidRPr="006C516E">
        <w:rPr>
          <w:rFonts w:ascii="Arial" w:hAnsi="Arial" w:cs="Arial"/>
          <w:b/>
          <w:bCs/>
          <w:lang w:eastAsia="en-AU"/>
        </w:rPr>
        <w:t>synthesis and consolidated recommendations</w:t>
      </w:r>
    </w:p>
    <w:p w14:paraId="50F1D0A7" w14:textId="77777777" w:rsidR="00D30B1C" w:rsidRPr="006C516E" w:rsidRDefault="00D30B1C" w:rsidP="003A3029">
      <w:pPr>
        <w:autoSpaceDE w:val="0"/>
        <w:autoSpaceDN w:val="0"/>
        <w:adjustRightInd w:val="0"/>
        <w:rPr>
          <w:rFonts w:ascii="Arial" w:hAnsi="Arial" w:cs="Arial"/>
          <w:lang w:eastAsia="en-AU"/>
        </w:rPr>
      </w:pPr>
      <w:r w:rsidRPr="006C516E">
        <w:rPr>
          <w:rFonts w:ascii="Arial" w:hAnsi="Arial" w:cs="Arial"/>
          <w:lang w:eastAsia="en-AU"/>
        </w:rPr>
        <w:t>This report syntheses and consolidates the findings presented in other reports and provides</w:t>
      </w:r>
      <w:r w:rsidR="005F0204" w:rsidRPr="006C516E">
        <w:rPr>
          <w:rFonts w:ascii="Arial" w:hAnsi="Arial" w:cs="Arial"/>
          <w:lang w:eastAsia="en-AU"/>
        </w:rPr>
        <w:t xml:space="preserve"> </w:t>
      </w:r>
      <w:r w:rsidRPr="006C516E">
        <w:rPr>
          <w:rFonts w:ascii="Arial" w:hAnsi="Arial" w:cs="Arial"/>
          <w:lang w:eastAsia="en-AU"/>
        </w:rPr>
        <w:t>a consolidated set of recommendations.</w:t>
      </w:r>
    </w:p>
    <w:p w14:paraId="67DE821D" w14:textId="77777777" w:rsidR="005F0204" w:rsidRPr="006C516E" w:rsidRDefault="005F0204" w:rsidP="003A3029">
      <w:pPr>
        <w:autoSpaceDE w:val="0"/>
        <w:autoSpaceDN w:val="0"/>
        <w:adjustRightInd w:val="0"/>
        <w:rPr>
          <w:rFonts w:ascii="Arial" w:hAnsi="Arial" w:cs="Arial"/>
          <w:lang w:eastAsia="en-AU"/>
        </w:rPr>
      </w:pPr>
    </w:p>
    <w:p w14:paraId="5E327E81" w14:textId="77777777" w:rsidR="005F0204" w:rsidRPr="006C516E" w:rsidRDefault="00D30B1C" w:rsidP="003A3029">
      <w:pPr>
        <w:autoSpaceDE w:val="0"/>
        <w:autoSpaceDN w:val="0"/>
        <w:adjustRightInd w:val="0"/>
        <w:rPr>
          <w:rFonts w:ascii="Arial" w:hAnsi="Arial" w:cs="Arial"/>
          <w:b/>
          <w:bCs/>
          <w:lang w:eastAsia="en-AU"/>
        </w:rPr>
      </w:pPr>
      <w:r w:rsidRPr="006C516E">
        <w:rPr>
          <w:rFonts w:ascii="Arial" w:hAnsi="Arial" w:cs="Arial"/>
          <w:b/>
          <w:bCs/>
          <w:lang w:eastAsia="en-AU"/>
        </w:rPr>
        <w:t>Report 7: AN-ACC Technical appendices</w:t>
      </w:r>
    </w:p>
    <w:p w14:paraId="522C1140" w14:textId="77777777" w:rsidR="00D30B1C" w:rsidRPr="006C516E" w:rsidRDefault="00D30B1C" w:rsidP="003A3029">
      <w:pPr>
        <w:autoSpaceDE w:val="0"/>
        <w:autoSpaceDN w:val="0"/>
        <w:adjustRightInd w:val="0"/>
        <w:rPr>
          <w:rFonts w:ascii="Arial" w:hAnsi="Arial" w:cs="Arial"/>
          <w:lang w:eastAsia="en-AU"/>
        </w:rPr>
      </w:pPr>
      <w:r w:rsidRPr="006C516E">
        <w:rPr>
          <w:rFonts w:ascii="Arial" w:hAnsi="Arial" w:cs="Arial"/>
          <w:lang w:eastAsia="en-AU"/>
        </w:rPr>
        <w:lastRenderedPageBreak/>
        <w:t>This report is a series of technical appendices that contain detailed data for reference</w:t>
      </w:r>
      <w:r w:rsidR="005F0204" w:rsidRPr="006C516E">
        <w:rPr>
          <w:rFonts w:ascii="Arial" w:hAnsi="Arial" w:cs="Arial"/>
          <w:lang w:eastAsia="en-AU"/>
        </w:rPr>
        <w:t xml:space="preserve"> </w:t>
      </w:r>
      <w:r w:rsidRPr="006C516E">
        <w:rPr>
          <w:rFonts w:ascii="Arial" w:hAnsi="Arial" w:cs="Arial"/>
          <w:lang w:eastAsia="en-AU"/>
        </w:rPr>
        <w:t>purposes.</w:t>
      </w:r>
    </w:p>
    <w:p w14:paraId="7F9E9DC9" w14:textId="77777777" w:rsidR="000C1CC5" w:rsidRPr="006C516E" w:rsidRDefault="000C1CC5" w:rsidP="003A3029">
      <w:pPr>
        <w:pStyle w:val="Heading1"/>
      </w:pPr>
      <w:r w:rsidRPr="006C516E">
        <w:br w:type="page"/>
      </w:r>
      <w:bookmarkStart w:id="24" w:name="_Toc3383726"/>
      <w:r w:rsidRPr="006C516E">
        <w:lastRenderedPageBreak/>
        <w:t xml:space="preserve">Attachment D – </w:t>
      </w:r>
      <w:r w:rsidR="002B1D74" w:rsidRPr="006C516E">
        <w:t xml:space="preserve">The </w:t>
      </w:r>
      <w:r w:rsidRPr="006C516E">
        <w:t>AN-ACC Assessment Tool</w:t>
      </w:r>
      <w:bookmarkEnd w:id="24"/>
    </w:p>
    <w:p w14:paraId="03182A8C" w14:textId="77777777" w:rsidR="002B1D74" w:rsidRPr="006C516E" w:rsidRDefault="002B1D74" w:rsidP="003A3029">
      <w:pPr>
        <w:rPr>
          <w:rFonts w:ascii="Arial" w:hAnsi="Arial" w:cs="Arial"/>
        </w:rPr>
      </w:pPr>
      <w:r w:rsidRPr="006C516E">
        <w:rPr>
          <w:rFonts w:ascii="Arial" w:hAnsi="Arial" w:cs="Arial"/>
          <w:noProof/>
          <w:lang w:eastAsia="en-AU"/>
        </w:rPr>
        <w:drawing>
          <wp:inline distT="0" distB="0" distL="0" distR="0" wp14:anchorId="4C7C4ED9" wp14:editId="0CDE035F">
            <wp:extent cx="5731510" cy="7862570"/>
            <wp:effectExtent l="0" t="0" r="2540" b="5080"/>
            <wp:docPr id="3" name="Picture 3" descr="AN-ACC Assessment Tool page 1. This picture and the pictures on the following three pages show the AN-ACC Assessment Tool. It incorporates a number of tools, including a list of Technical Nursing Requirements, the Resource Utilisation Group - Activities of Daily Living tool, the Australian-modified Karnofsky Performance Status tool, a Palliative Care tool, the Rockwood Frailty Score tool, the Braden Scale pressure sore prediction tool, the modified De Morton Mobility Index tool,  the Australian Modified Functional Independence Measure tool, and the Behaviour Resource Utilisation Assessment tool." title="AN-ACC Assessment T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862570"/>
                    </a:xfrm>
                    <a:prstGeom prst="rect">
                      <a:avLst/>
                    </a:prstGeom>
                  </pic:spPr>
                </pic:pic>
              </a:graphicData>
            </a:graphic>
          </wp:inline>
        </w:drawing>
      </w:r>
    </w:p>
    <w:p w14:paraId="51250085" w14:textId="77777777" w:rsidR="000C1CC5" w:rsidRPr="006C516E" w:rsidRDefault="002B1D74" w:rsidP="003A3029">
      <w:pPr>
        <w:rPr>
          <w:rFonts w:ascii="Arial" w:hAnsi="Arial" w:cs="Arial"/>
        </w:rPr>
      </w:pPr>
      <w:r w:rsidRPr="006C516E">
        <w:rPr>
          <w:rFonts w:ascii="Arial" w:hAnsi="Arial" w:cs="Arial"/>
          <w:noProof/>
          <w:lang w:eastAsia="en-AU"/>
        </w:rPr>
        <w:lastRenderedPageBreak/>
        <w:drawing>
          <wp:inline distT="0" distB="0" distL="0" distR="0" wp14:anchorId="48D32F37" wp14:editId="1DD0C344">
            <wp:extent cx="5731510" cy="7778115"/>
            <wp:effectExtent l="0" t="0" r="2540" b="0"/>
            <wp:docPr id="4" name="Picture 4" descr="AN-ACC Assessment Tool page 2." title="AN-ACC Assessmen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7778115"/>
                    </a:xfrm>
                    <a:prstGeom prst="rect">
                      <a:avLst/>
                    </a:prstGeom>
                  </pic:spPr>
                </pic:pic>
              </a:graphicData>
            </a:graphic>
          </wp:inline>
        </w:drawing>
      </w:r>
      <w:r w:rsidRPr="006C516E">
        <w:rPr>
          <w:rFonts w:ascii="Arial" w:hAnsi="Arial" w:cs="Arial"/>
          <w:noProof/>
          <w:lang w:eastAsia="en-AU"/>
        </w:rPr>
        <w:t xml:space="preserve"> </w:t>
      </w:r>
      <w:r w:rsidRPr="006C516E">
        <w:rPr>
          <w:rFonts w:ascii="Arial" w:hAnsi="Arial" w:cs="Arial"/>
          <w:noProof/>
          <w:lang w:eastAsia="en-AU"/>
        </w:rPr>
        <w:lastRenderedPageBreak/>
        <w:drawing>
          <wp:inline distT="0" distB="0" distL="0" distR="0" wp14:anchorId="124E77DE" wp14:editId="03C254EF">
            <wp:extent cx="5731510" cy="7781925"/>
            <wp:effectExtent l="0" t="0" r="2540" b="9525"/>
            <wp:docPr id="5" name="Picture 5" descr="AN-ACC Assessment Tool page 3." title="AN-ACC Assessmen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7781925"/>
                    </a:xfrm>
                    <a:prstGeom prst="rect">
                      <a:avLst/>
                    </a:prstGeom>
                  </pic:spPr>
                </pic:pic>
              </a:graphicData>
            </a:graphic>
          </wp:inline>
        </w:drawing>
      </w:r>
      <w:r w:rsidRPr="006C516E">
        <w:rPr>
          <w:rFonts w:ascii="Arial" w:hAnsi="Arial" w:cs="Arial"/>
          <w:noProof/>
          <w:lang w:eastAsia="en-AU"/>
        </w:rPr>
        <w:t xml:space="preserve"> </w:t>
      </w:r>
      <w:r w:rsidRPr="006C516E">
        <w:rPr>
          <w:rFonts w:ascii="Arial" w:hAnsi="Arial" w:cs="Arial"/>
          <w:noProof/>
          <w:lang w:eastAsia="en-AU"/>
        </w:rPr>
        <w:lastRenderedPageBreak/>
        <w:drawing>
          <wp:inline distT="0" distB="0" distL="0" distR="0" wp14:anchorId="23AD5250" wp14:editId="7C02F0AF">
            <wp:extent cx="5731510" cy="8108950"/>
            <wp:effectExtent l="0" t="0" r="2540" b="6350"/>
            <wp:docPr id="6" name="Picture 6" descr="AN-ACC Assessment Tool page 4." title="AN-ACC Assessment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8108950"/>
                    </a:xfrm>
                    <a:prstGeom prst="rect">
                      <a:avLst/>
                    </a:prstGeom>
                  </pic:spPr>
                </pic:pic>
              </a:graphicData>
            </a:graphic>
          </wp:inline>
        </w:drawing>
      </w:r>
      <w:r w:rsidR="000C1CC5" w:rsidRPr="006C516E">
        <w:rPr>
          <w:rFonts w:ascii="Arial" w:hAnsi="Arial" w:cs="Arial"/>
        </w:rPr>
        <w:br w:type="page"/>
      </w:r>
    </w:p>
    <w:p w14:paraId="1391C8FC" w14:textId="77777777" w:rsidR="008A22F8" w:rsidRPr="006C516E" w:rsidRDefault="000C1CC5" w:rsidP="003A3029">
      <w:pPr>
        <w:pStyle w:val="Heading1"/>
      </w:pPr>
      <w:bookmarkStart w:id="25" w:name="_Toc3383727"/>
      <w:r w:rsidRPr="006C516E">
        <w:lastRenderedPageBreak/>
        <w:t>Attachment E</w:t>
      </w:r>
      <w:r w:rsidR="00626BBA" w:rsidRPr="006C516E">
        <w:t xml:space="preserve"> – </w:t>
      </w:r>
      <w:r w:rsidRPr="006C516E">
        <w:t>AHSRI’s consolidated</w:t>
      </w:r>
      <w:r w:rsidR="00626BBA" w:rsidRPr="006C516E">
        <w:t xml:space="preserve"> recommendations</w:t>
      </w:r>
      <w:bookmarkEnd w:id="25"/>
    </w:p>
    <w:p w14:paraId="32614160" w14:textId="77777777" w:rsidR="00AE21D2" w:rsidRPr="006C516E" w:rsidRDefault="00AE21D2" w:rsidP="003A3029">
      <w:pPr>
        <w:pStyle w:val="Default"/>
        <w:pBdr>
          <w:top w:val="single" w:sz="4" w:space="1" w:color="auto"/>
          <w:left w:val="single" w:sz="4" w:space="4" w:color="auto"/>
          <w:bottom w:val="single" w:sz="4" w:space="1" w:color="auto"/>
          <w:right w:val="single" w:sz="4" w:space="4" w:color="auto"/>
        </w:pBdr>
        <w:rPr>
          <w:rFonts w:ascii="Arial" w:hAnsi="Arial" w:cs="Arial"/>
          <w:b/>
          <w:bCs/>
        </w:rPr>
      </w:pPr>
    </w:p>
    <w:p w14:paraId="5815D30B"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b/>
          <w:bCs/>
        </w:rPr>
        <w:t xml:space="preserve">Recommendation 1 </w:t>
      </w:r>
    </w:p>
    <w:p w14:paraId="584E3EA9" w14:textId="77777777" w:rsidR="008A22F8" w:rsidRPr="006C516E" w:rsidRDefault="008A22F8"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the Australian National Aged Care Classification (AN-ACC) Version 1.0 be adopted as the national standard classification for residential aged care.</w:t>
      </w:r>
    </w:p>
    <w:p w14:paraId="4CC6C84A"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p>
    <w:p w14:paraId="00FE9222"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b/>
          <w:bCs/>
        </w:rPr>
        <w:t xml:space="preserve">Recommendation 2 </w:t>
      </w:r>
    </w:p>
    <w:p w14:paraId="4138CE43"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 xml:space="preserve">That the Australian National Aged Care Classification (AN-ACC) Version 1.0 Assessment Tool be adopted as the national standard funding assessment for residential aged care. </w:t>
      </w:r>
    </w:p>
    <w:p w14:paraId="3B4DA4C0"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p>
    <w:p w14:paraId="2CB638D6"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b/>
          <w:bCs/>
        </w:rPr>
        <w:t xml:space="preserve">Recommendation 3 </w:t>
      </w:r>
    </w:p>
    <w:p w14:paraId="65AF3079" w14:textId="77777777" w:rsidR="008A22F8" w:rsidRPr="006C516E" w:rsidRDefault="008A22F8"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all new residents be assessed by an independent assessor using the AN-ACC Assessment Tool within four weeks of entering residential aged care.</w:t>
      </w:r>
    </w:p>
    <w:p w14:paraId="0CE37DC8"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p>
    <w:p w14:paraId="0E5D23BF"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b/>
          <w:bCs/>
        </w:rPr>
        <w:t xml:space="preserve">Recommendation 4 </w:t>
      </w:r>
    </w:p>
    <w:p w14:paraId="263111CF"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 xml:space="preserve">That residents requiring reassessment be assessed by an independent assessor using the AN-ACC Assessment Tool. </w:t>
      </w:r>
    </w:p>
    <w:p w14:paraId="4384E740"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p>
    <w:p w14:paraId="5CA84CCD"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b/>
          <w:bCs/>
        </w:rPr>
        <w:t xml:space="preserve">Recommendation 5 </w:t>
      </w:r>
    </w:p>
    <w:p w14:paraId="3F974A69" w14:textId="77777777" w:rsidR="008A22F8" w:rsidRPr="006C516E" w:rsidRDefault="008A22F8"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aggregate de-identified data captured in the AN-ACC assessment be released in the form of an annual public report on the needs of residents in the residential aged care sector.</w:t>
      </w:r>
    </w:p>
    <w:p w14:paraId="2A0E743D"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p>
    <w:p w14:paraId="078E16B0"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b/>
          <w:bCs/>
        </w:rPr>
        <w:t xml:space="preserve">Recommendation 6 </w:t>
      </w:r>
    </w:p>
    <w:p w14:paraId="71091F33"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 xml:space="preserve">That the new AN-ACC funding model allow for reassessment based on significantly increased needs as indicated by (1) a significant hospitalisation (2) a significant change in mobility and/or (3) a standard time period; twelve months for Classes 2 to 8 (those classes with lower mortality rate) and six months for Classes 9 to 12 (classes for people who are not mobile and are expected to deteriorate at a higher rate). </w:t>
      </w:r>
    </w:p>
    <w:p w14:paraId="05FEC963"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b/>
          <w:bCs/>
        </w:rPr>
      </w:pPr>
    </w:p>
    <w:p w14:paraId="1A809723" w14:textId="77777777" w:rsidR="008A22F8" w:rsidRPr="006C516E" w:rsidRDefault="008A22F8" w:rsidP="003A3029">
      <w:pPr>
        <w:pStyle w:val="Default"/>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b/>
          <w:bCs/>
        </w:rPr>
        <w:t xml:space="preserve">Recommendation 7 </w:t>
      </w:r>
    </w:p>
    <w:p w14:paraId="5232C7B8" w14:textId="77777777" w:rsidR="008A22F8" w:rsidRPr="006C516E" w:rsidRDefault="008A22F8"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the Commonwealth consider the introduction of reassessment charges for any home that routinely triggers unnecessary reassessments.</w:t>
      </w:r>
    </w:p>
    <w:p w14:paraId="0124CBEB"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7BAFA353"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8</w:t>
      </w:r>
    </w:p>
    <w:p w14:paraId="1C19A6C2"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There be no requirement for reassessment in the AN-ACC funding model</w:t>
      </w:r>
    </w:p>
    <w:p w14:paraId="1F1F2C62"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09F65F28"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9</w:t>
      </w:r>
    </w:p>
    <w:p w14:paraId="4BAD33CF"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a best practice needs identification and care planning assessment tool be developed for use by residential aged care facilities.</w:t>
      </w:r>
    </w:p>
    <w:p w14:paraId="4EA96178" w14:textId="77777777" w:rsidR="008A22F8" w:rsidRPr="006C516E" w:rsidRDefault="008A22F8" w:rsidP="003A3029">
      <w:pPr>
        <w:pBdr>
          <w:top w:val="single" w:sz="4" w:space="1" w:color="auto"/>
          <w:left w:val="single" w:sz="4" w:space="4" w:color="auto"/>
          <w:bottom w:val="single" w:sz="4" w:space="1" w:color="auto"/>
          <w:right w:val="single" w:sz="4" w:space="4" w:color="auto"/>
        </w:pBdr>
        <w:rPr>
          <w:rFonts w:ascii="Arial" w:hAnsi="Arial" w:cs="Arial"/>
          <w:b/>
        </w:rPr>
      </w:pPr>
    </w:p>
    <w:p w14:paraId="530D0731"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10</w:t>
      </w:r>
    </w:p>
    <w:p w14:paraId="35D9D165"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as a condition of subsidy, each resident undergo a care planning assessment at least annually and that the outcomes of this assessment be discussed with residents and carers and be used as the basis of an annual care plan.</w:t>
      </w:r>
    </w:p>
    <w:p w14:paraId="0042ED6E"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24866430"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11</w:t>
      </w:r>
    </w:p>
    <w:p w14:paraId="52BE5516"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lastRenderedPageBreak/>
        <w:t>That the subsidies payable to homes for the care of residents consist of three components (base care tariff, AN-ACC payment and adjustment payment), each of which is expressed for funding purposes as a National Weighted Activity Unit (NWAU).</w:t>
      </w:r>
    </w:p>
    <w:p w14:paraId="6AD30A0D"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3D35857E"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12</w:t>
      </w:r>
    </w:p>
    <w:p w14:paraId="494EF47C"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there be a specified table of base care tariffs reflecting the structural costs of delivering care in different types of facilities.</w:t>
      </w:r>
    </w:p>
    <w:p w14:paraId="75061E59"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06C72C5B"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13</w:t>
      </w:r>
    </w:p>
    <w:p w14:paraId="21FD4174"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in residential care facilities in remote areas (MMM 6 or MMM 7), the base tariff be based on approved beds (capacity) with all other base tariffs being based on occupancy.</w:t>
      </w:r>
    </w:p>
    <w:p w14:paraId="0BC4C0EE"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162A305F"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14</w:t>
      </w:r>
    </w:p>
    <w:p w14:paraId="6B8E720B"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in addition to the base tariff, homes receive a daily subsidy for each resident based on their AN-ACC class.</w:t>
      </w:r>
    </w:p>
    <w:p w14:paraId="52B9FF6A"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4488633E"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 xml:space="preserve">Recommendation 15 </w:t>
      </w:r>
    </w:p>
    <w:p w14:paraId="3F542447"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the tariffs, classes and NWAUs set out in Report 6 be adopted in the first version of the AN-ACC funding model for residential aged care.</w:t>
      </w:r>
    </w:p>
    <w:p w14:paraId="1A00A112"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252FEAE2"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16</w:t>
      </w:r>
    </w:p>
    <w:p w14:paraId="3A52B48C"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residential aged care facilities not be advised of the resident’s exact AN-ACC class until after the person is in care.</w:t>
      </w:r>
    </w:p>
    <w:p w14:paraId="11E52D8A"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2010AFF9"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17</w:t>
      </w:r>
    </w:p>
    <w:p w14:paraId="3B3B96B5"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the default payment class at entry be Class 2. Payments are retrospectively adjusted to the date of entry once the assessment is undertaken.</w:t>
      </w:r>
    </w:p>
    <w:p w14:paraId="781180E2"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528A43DA"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18</w:t>
      </w:r>
    </w:p>
    <w:p w14:paraId="1D59F5D0"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the one-off adjustment payment be set at 5.28 NWAUs.</w:t>
      </w:r>
    </w:p>
    <w:p w14:paraId="1F37EA75"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3F2A3F54"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19</w:t>
      </w:r>
    </w:p>
    <w:p w14:paraId="52CC5587"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the Commonwealth, working through the Department of Health and the Aged Care Quality and Safety Commission, build strong accountability into the system to ensure that the adjustment payment be used for the intended purpose, not added to the bottom line and not contracted out to third party providers.</w:t>
      </w:r>
    </w:p>
    <w:p w14:paraId="03F9F7FC"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27AB2D27"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20</w:t>
      </w:r>
    </w:p>
    <w:p w14:paraId="6CF00A41"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existing Commonwealth subsidies be addressed in three different ways:</w:t>
      </w:r>
    </w:p>
    <w:p w14:paraId="4FC65EB1" w14:textId="77777777" w:rsidR="00AE21D2" w:rsidRPr="006C516E" w:rsidRDefault="00AE21D2" w:rsidP="003A3029">
      <w:pPr>
        <w:pBdr>
          <w:top w:val="single" w:sz="4" w:space="1" w:color="auto"/>
          <w:left w:val="single" w:sz="4" w:space="4" w:color="auto"/>
          <w:bottom w:val="single" w:sz="4" w:space="1" w:color="auto"/>
          <w:right w:val="single" w:sz="4" w:space="4" w:color="auto"/>
        </w:pBdr>
        <w:ind w:left="720" w:hanging="720"/>
        <w:rPr>
          <w:rFonts w:ascii="Arial" w:hAnsi="Arial" w:cs="Arial"/>
        </w:rPr>
      </w:pPr>
      <w:r w:rsidRPr="006C516E">
        <w:rPr>
          <w:rFonts w:ascii="Arial" w:hAnsi="Arial" w:cs="Arial"/>
        </w:rPr>
        <w:t>1.</w:t>
      </w:r>
      <w:r w:rsidRPr="006C516E">
        <w:rPr>
          <w:rFonts w:ascii="Arial" w:hAnsi="Arial" w:cs="Arial"/>
        </w:rPr>
        <w:tab/>
        <w:t>The homeless supplement and the adjusted subsidy reduction be discontinued once the AN-ACC model is introduced.</w:t>
      </w:r>
    </w:p>
    <w:p w14:paraId="082B888B" w14:textId="77777777" w:rsidR="00AE21D2" w:rsidRPr="006C516E" w:rsidRDefault="00AE21D2" w:rsidP="003A3029">
      <w:pPr>
        <w:pBdr>
          <w:top w:val="single" w:sz="4" w:space="1" w:color="auto"/>
          <w:left w:val="single" w:sz="4" w:space="4" w:color="auto"/>
          <w:bottom w:val="single" w:sz="4" w:space="1" w:color="auto"/>
          <w:right w:val="single" w:sz="4" w:space="4" w:color="auto"/>
        </w:pBdr>
        <w:ind w:left="720" w:hanging="720"/>
        <w:rPr>
          <w:rFonts w:ascii="Arial" w:hAnsi="Arial" w:cs="Arial"/>
        </w:rPr>
      </w:pPr>
      <w:r w:rsidRPr="006C516E">
        <w:rPr>
          <w:rFonts w:ascii="Arial" w:hAnsi="Arial" w:cs="Arial"/>
        </w:rPr>
        <w:t>2.</w:t>
      </w:r>
      <w:r w:rsidRPr="006C516E">
        <w:rPr>
          <w:rFonts w:ascii="Arial" w:hAnsi="Arial" w:cs="Arial"/>
        </w:rPr>
        <w:tab/>
        <w:t>RCS payments for grandparented residents be progressively phased out with all current RCS recipients to transition to the AN-ACC within two years.</w:t>
      </w:r>
    </w:p>
    <w:p w14:paraId="0921E09D" w14:textId="77777777" w:rsidR="00AE21D2" w:rsidRPr="006C516E" w:rsidRDefault="00AE21D2" w:rsidP="003A3029">
      <w:pPr>
        <w:pBdr>
          <w:top w:val="single" w:sz="4" w:space="1" w:color="auto"/>
          <w:left w:val="single" w:sz="4" w:space="4" w:color="auto"/>
          <w:bottom w:val="single" w:sz="4" w:space="1" w:color="auto"/>
          <w:right w:val="single" w:sz="4" w:space="4" w:color="auto"/>
        </w:pBdr>
        <w:ind w:left="720" w:hanging="720"/>
        <w:rPr>
          <w:rFonts w:ascii="Arial" w:hAnsi="Arial" w:cs="Arial"/>
        </w:rPr>
      </w:pPr>
      <w:r w:rsidRPr="006C516E">
        <w:rPr>
          <w:rFonts w:ascii="Arial" w:hAnsi="Arial" w:cs="Arial"/>
        </w:rPr>
        <w:t>3.</w:t>
      </w:r>
      <w:r w:rsidRPr="006C516E">
        <w:rPr>
          <w:rFonts w:ascii="Arial" w:hAnsi="Arial" w:cs="Arial"/>
        </w:rPr>
        <w:tab/>
        <w:t>The daily residential respite subsidy, the oxygen supplement, the enteral feeding supplement and the veterans supplement be the subject of supplementary RUCS studies with current recipients being grandfathered until the results of the supplementary study are available.</w:t>
      </w:r>
    </w:p>
    <w:p w14:paraId="73B2AFA3"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290900CB"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lastRenderedPageBreak/>
        <w:t>Recommendation 21</w:t>
      </w:r>
    </w:p>
    <w:p w14:paraId="597039E5"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the Commonwealth develop a national transition strategy with progressive implementation of the AN-ACC over two years.</w:t>
      </w:r>
    </w:p>
    <w:p w14:paraId="4169F157"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185C66B5"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22</w:t>
      </w:r>
    </w:p>
    <w:p w14:paraId="2BDCE7E6"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the Commonwealth adopt a stop-loss policy for any home that would experience a significant funding decrease under the AN-ACC model with an initial stop-loss threshold of 5% and transition payments payable for up to two years from the date of transition.</w:t>
      </w:r>
    </w:p>
    <w:p w14:paraId="54B93A98"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6109C377"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23</w:t>
      </w:r>
    </w:p>
    <w:p w14:paraId="4E9C9BCC"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a national implementation plan with indicative time lines, costs, consultation strategy and communication plan be developed by the Department of Health.</w:t>
      </w:r>
    </w:p>
    <w:p w14:paraId="6911CCB4"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6AE70F4C"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24</w:t>
      </w:r>
    </w:p>
    <w:p w14:paraId="3D42C4C1"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the Commonwealth undertake an annual residential aged care costing study and, informed by that, determine the dollar value of an NWAU each financial year.</w:t>
      </w:r>
    </w:p>
    <w:p w14:paraId="4582FA8D"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4CD2D647"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25</w:t>
      </w:r>
    </w:p>
    <w:p w14:paraId="4F734094"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in the context of broader reform proposed for aged care assessment, the Commonwealth adopt a national networked external assessment model for the AN-ACC funding assessment.</w:t>
      </w:r>
    </w:p>
    <w:p w14:paraId="13813EFE"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605A45DA"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26</w:t>
      </w:r>
    </w:p>
    <w:p w14:paraId="0236A327"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Irrespective of the broader organisational aspects, external assessment be undertaken by credentialed registered nurses, occupational therapists and physiotherapists who have experience in aged care, complete approved AN-ACC assessment training and comply with continuing professional development requirements.</w:t>
      </w:r>
    </w:p>
    <w:p w14:paraId="051DB250"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5F4E61CF"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27</w:t>
      </w:r>
    </w:p>
    <w:p w14:paraId="5D0B1C41"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the Commonwealth develop an Information Technology strategy for the progressive implementation of the AN-ACC funding model.</w:t>
      </w:r>
    </w:p>
    <w:p w14:paraId="0E47C0E8"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71C04F35"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28</w:t>
      </w:r>
    </w:p>
    <w:p w14:paraId="79AB96AB"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the Commonwealth work with peak bodies to develop and implement a change management strategy.</w:t>
      </w:r>
    </w:p>
    <w:p w14:paraId="46C0060C"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p>
    <w:p w14:paraId="4FB4D1CD"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Recommendation 29</w:t>
      </w:r>
    </w:p>
    <w:p w14:paraId="66E17E56"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Government commit to an ongoing aged care research and development agenda that builds on the work of the RUCS and that includes assessment, classification, costing and outcome studies.</w:t>
      </w:r>
    </w:p>
    <w:p w14:paraId="73B8936A"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p>
    <w:p w14:paraId="0AFC321C"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b/>
        </w:rPr>
      </w:pPr>
      <w:r w:rsidRPr="006C516E">
        <w:rPr>
          <w:rFonts w:ascii="Arial" w:hAnsi="Arial" w:cs="Arial"/>
          <w:b/>
        </w:rPr>
        <w:t xml:space="preserve">Recommendation 30 </w:t>
      </w:r>
    </w:p>
    <w:p w14:paraId="081B2588" w14:textId="77777777" w:rsidR="00AE21D2" w:rsidRPr="006C516E" w:rsidRDefault="00AE21D2" w:rsidP="003A3029">
      <w:pPr>
        <w:pBdr>
          <w:top w:val="single" w:sz="4" w:space="1" w:color="auto"/>
          <w:left w:val="single" w:sz="4" w:space="4" w:color="auto"/>
          <w:bottom w:val="single" w:sz="4" w:space="1" w:color="auto"/>
          <w:right w:val="single" w:sz="4" w:space="4" w:color="auto"/>
        </w:pBdr>
        <w:rPr>
          <w:rFonts w:ascii="Arial" w:hAnsi="Arial" w:cs="Arial"/>
        </w:rPr>
      </w:pPr>
      <w:r w:rsidRPr="006C516E">
        <w:rPr>
          <w:rFonts w:ascii="Arial" w:hAnsi="Arial" w:cs="Arial"/>
        </w:rPr>
        <w:t>That a study equivalent to RUCS be undertaken in the community aged care sector with a view to expanding AN-ACC so that it includes aged care delivered in all settings.</w:t>
      </w:r>
    </w:p>
    <w:p w14:paraId="147B7F37" w14:textId="77777777" w:rsidR="008613D7" w:rsidRPr="006C516E" w:rsidRDefault="008613D7" w:rsidP="003A3029">
      <w:pPr>
        <w:pBdr>
          <w:top w:val="single" w:sz="4" w:space="1" w:color="auto"/>
          <w:left w:val="single" w:sz="4" w:space="4" w:color="auto"/>
          <w:bottom w:val="single" w:sz="4" w:space="1" w:color="auto"/>
          <w:right w:val="single" w:sz="4" w:space="4" w:color="auto"/>
        </w:pBdr>
        <w:rPr>
          <w:rFonts w:ascii="Arial" w:hAnsi="Arial" w:cs="Arial"/>
        </w:rPr>
      </w:pPr>
    </w:p>
    <w:p w14:paraId="60CC2C48" w14:textId="77777777" w:rsidR="00E657A9" w:rsidRPr="006C516E" w:rsidRDefault="00E657A9" w:rsidP="003A3029">
      <w:pPr>
        <w:rPr>
          <w:rFonts w:ascii="Arial" w:hAnsi="Arial" w:cs="Arial"/>
        </w:rPr>
      </w:pPr>
    </w:p>
    <w:sectPr w:rsidR="00E657A9" w:rsidRPr="006C516E" w:rsidSect="000C1CC5">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857E7" w14:textId="77777777" w:rsidR="00AB14BB" w:rsidRDefault="00AB14BB" w:rsidP="00CA4FF1">
      <w:r>
        <w:separator/>
      </w:r>
    </w:p>
  </w:endnote>
  <w:endnote w:type="continuationSeparator" w:id="0">
    <w:p w14:paraId="58721A10" w14:textId="77777777" w:rsidR="00AB14BB" w:rsidRDefault="00AB14BB" w:rsidP="00CA4FF1">
      <w:r>
        <w:continuationSeparator/>
      </w:r>
    </w:p>
  </w:endnote>
  <w:endnote w:type="continuationNotice" w:id="1">
    <w:p w14:paraId="4814425D" w14:textId="77777777" w:rsidR="00AB14BB" w:rsidRDefault="00AB1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AAFE" w14:textId="77777777" w:rsidR="008C6901" w:rsidRDefault="008C6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04409733"/>
      <w:docPartObj>
        <w:docPartGallery w:val="Page Numbers (Bottom of Page)"/>
        <w:docPartUnique/>
      </w:docPartObj>
    </w:sdtPr>
    <w:sdtEndPr>
      <w:rPr>
        <w:noProof/>
      </w:rPr>
    </w:sdtEndPr>
    <w:sdtContent>
      <w:p w14:paraId="64DDED91" w14:textId="27154548" w:rsidR="00AB14BB" w:rsidRPr="006C516E" w:rsidRDefault="00AB14BB" w:rsidP="00F24B50">
        <w:pPr>
          <w:pStyle w:val="Footer"/>
          <w:rPr>
            <w:rFonts w:ascii="Arial" w:hAnsi="Arial" w:cs="Arial"/>
          </w:rPr>
        </w:pPr>
        <w:r w:rsidRPr="006C516E">
          <w:rPr>
            <w:rFonts w:ascii="Arial" w:hAnsi="Arial" w:cs="Arial"/>
            <w:sz w:val="20"/>
          </w:rPr>
          <w:t xml:space="preserve">Proposal for a new residential aged care funding model – consultation paper </w:t>
        </w:r>
        <w:r w:rsidRPr="006C516E">
          <w:rPr>
            <w:rFonts w:ascii="Arial" w:hAnsi="Arial" w:cs="Arial"/>
            <w:sz w:val="20"/>
          </w:rPr>
          <w:tab/>
        </w:r>
        <w:r w:rsidRPr="006C516E">
          <w:rPr>
            <w:rFonts w:ascii="Arial" w:hAnsi="Arial" w:cs="Arial"/>
            <w:sz w:val="20"/>
          </w:rPr>
          <w:fldChar w:fldCharType="begin"/>
        </w:r>
        <w:r w:rsidRPr="006C516E">
          <w:rPr>
            <w:rFonts w:ascii="Arial" w:hAnsi="Arial" w:cs="Arial"/>
            <w:sz w:val="20"/>
          </w:rPr>
          <w:instrText xml:space="preserve"> PAGE   \* MERGEFORMAT </w:instrText>
        </w:r>
        <w:r w:rsidRPr="006C516E">
          <w:rPr>
            <w:rFonts w:ascii="Arial" w:hAnsi="Arial" w:cs="Arial"/>
            <w:sz w:val="20"/>
          </w:rPr>
          <w:fldChar w:fldCharType="separate"/>
        </w:r>
        <w:r w:rsidR="00E622FD">
          <w:rPr>
            <w:rFonts w:ascii="Arial" w:hAnsi="Arial" w:cs="Arial"/>
            <w:noProof/>
            <w:sz w:val="20"/>
          </w:rPr>
          <w:t>3</w:t>
        </w:r>
        <w:r w:rsidRPr="006C516E">
          <w:rPr>
            <w:rFonts w:ascii="Arial" w:hAnsi="Arial" w:cs="Arial"/>
            <w:noProof/>
            <w:sz w:val="20"/>
          </w:rPr>
          <w:fldChar w:fldCharType="end"/>
        </w:r>
      </w:p>
    </w:sdtContent>
  </w:sdt>
  <w:p w14:paraId="30EFC8CA" w14:textId="77777777" w:rsidR="00AB14BB" w:rsidRDefault="00AB1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890E" w14:textId="77777777" w:rsidR="008C6901" w:rsidRDefault="008C6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64CA6" w14:textId="77777777" w:rsidR="00AB14BB" w:rsidRDefault="00AB14BB" w:rsidP="00CA4FF1">
      <w:r>
        <w:separator/>
      </w:r>
    </w:p>
  </w:footnote>
  <w:footnote w:type="continuationSeparator" w:id="0">
    <w:p w14:paraId="3DDF9C34" w14:textId="77777777" w:rsidR="00AB14BB" w:rsidRDefault="00AB14BB" w:rsidP="00CA4FF1">
      <w:r>
        <w:continuationSeparator/>
      </w:r>
    </w:p>
  </w:footnote>
  <w:footnote w:type="continuationNotice" w:id="1">
    <w:p w14:paraId="128CB2C9" w14:textId="77777777" w:rsidR="00AB14BB" w:rsidRDefault="00AB14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E754" w14:textId="77777777" w:rsidR="008C6901" w:rsidRDefault="008C6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86F9" w14:textId="1CDC83BE" w:rsidR="00AB14BB" w:rsidRDefault="00AB1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F4F4" w14:textId="77777777" w:rsidR="008C6901" w:rsidRDefault="008C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944"/>
    <w:multiLevelType w:val="hybridMultilevel"/>
    <w:tmpl w:val="1A64D5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F91D63"/>
    <w:multiLevelType w:val="hybridMultilevel"/>
    <w:tmpl w:val="08A286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4A6"/>
    <w:multiLevelType w:val="hybridMultilevel"/>
    <w:tmpl w:val="5E7ACC3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AB6A45"/>
    <w:multiLevelType w:val="hybridMultilevel"/>
    <w:tmpl w:val="D60ADA3A"/>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7B3CC5"/>
    <w:multiLevelType w:val="hybridMultilevel"/>
    <w:tmpl w:val="41DAB6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A387C"/>
    <w:multiLevelType w:val="hybridMultilevel"/>
    <w:tmpl w:val="9A60E752"/>
    <w:lvl w:ilvl="0" w:tplc="74C047BC">
      <w:start w:val="1"/>
      <w:numFmt w:val="bullet"/>
      <w:pStyle w:val="Bullets"/>
      <w:lvlText w:val=""/>
      <w:lvlJc w:val="left"/>
      <w:pPr>
        <w:ind w:left="502" w:hanging="360"/>
      </w:pPr>
      <w:rPr>
        <w:rFonts w:ascii="Wingdings" w:hAnsi="Wingdings" w:hint="default"/>
      </w:rPr>
    </w:lvl>
    <w:lvl w:ilvl="1" w:tplc="0C09000F">
      <w:start w:val="1"/>
      <w:numFmt w:val="decimal"/>
      <w:lvlText w:val="%2."/>
      <w:lvlJc w:val="left"/>
      <w:pPr>
        <w:ind w:left="1080" w:hanging="360"/>
      </w:pPr>
      <w:rPr>
        <w:rFonts w:hint="default"/>
      </w:rPr>
    </w:lvl>
    <w:lvl w:ilvl="2" w:tplc="0C09000F">
      <w:start w:val="1"/>
      <w:numFmt w:val="decimal"/>
      <w:lvlText w:val="%3."/>
      <w:lvlJc w:val="left"/>
      <w:pPr>
        <w:ind w:left="1800" w:hanging="360"/>
      </w:pPr>
      <w:rPr>
        <w:rFonts w:hint="default"/>
      </w:rPr>
    </w:lvl>
    <w:lvl w:ilvl="3" w:tplc="867A88E4">
      <w:numFmt w:val="bullet"/>
      <w:lvlText w:val=""/>
      <w:lvlJc w:val="left"/>
      <w:pPr>
        <w:ind w:left="2520" w:hanging="360"/>
      </w:pPr>
      <w:rPr>
        <w:rFonts w:ascii="Symbol" w:eastAsia="Times New Roman" w:hAnsi="Symbol" w:cs="Times New Roman"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1417231"/>
    <w:multiLevelType w:val="hybridMultilevel"/>
    <w:tmpl w:val="3896431E"/>
    <w:lvl w:ilvl="0" w:tplc="64BCD7D4">
      <w:start w:val="1"/>
      <w:numFmt w:val="bullet"/>
      <w:lvlText w:val=""/>
      <w:lvlJc w:val="left"/>
      <w:pPr>
        <w:ind w:left="720" w:hanging="360"/>
      </w:pPr>
      <w:rPr>
        <w:rFonts w:ascii="Symbol" w:hAnsi="Symbol" w:hint="default"/>
      </w:rPr>
    </w:lvl>
    <w:lvl w:ilvl="1" w:tplc="59B4AF56">
      <w:start w:val="1"/>
      <w:numFmt w:val="bullet"/>
      <w:lvlText w:val="o"/>
      <w:lvlJc w:val="left"/>
      <w:pPr>
        <w:ind w:left="1440" w:hanging="360"/>
      </w:pPr>
      <w:rPr>
        <w:rFonts w:ascii="Courier New" w:hAnsi="Courier New" w:hint="default"/>
      </w:rPr>
    </w:lvl>
    <w:lvl w:ilvl="2" w:tplc="E1343614">
      <w:start w:val="1"/>
      <w:numFmt w:val="bullet"/>
      <w:lvlText w:val=""/>
      <w:lvlJc w:val="left"/>
      <w:pPr>
        <w:ind w:left="2160" w:hanging="360"/>
      </w:pPr>
      <w:rPr>
        <w:rFonts w:ascii="Wingdings" w:hAnsi="Wingdings" w:hint="default"/>
      </w:rPr>
    </w:lvl>
    <w:lvl w:ilvl="3" w:tplc="1C684076">
      <w:start w:val="1"/>
      <w:numFmt w:val="bullet"/>
      <w:lvlText w:val=""/>
      <w:lvlJc w:val="left"/>
      <w:pPr>
        <w:ind w:left="2880" w:hanging="360"/>
      </w:pPr>
      <w:rPr>
        <w:rFonts w:ascii="Symbol" w:hAnsi="Symbol" w:hint="default"/>
      </w:rPr>
    </w:lvl>
    <w:lvl w:ilvl="4" w:tplc="43A6AADE">
      <w:start w:val="1"/>
      <w:numFmt w:val="bullet"/>
      <w:lvlText w:val="o"/>
      <w:lvlJc w:val="left"/>
      <w:pPr>
        <w:ind w:left="3600" w:hanging="360"/>
      </w:pPr>
      <w:rPr>
        <w:rFonts w:ascii="Courier New" w:hAnsi="Courier New" w:hint="default"/>
      </w:rPr>
    </w:lvl>
    <w:lvl w:ilvl="5" w:tplc="76064A64">
      <w:start w:val="1"/>
      <w:numFmt w:val="bullet"/>
      <w:lvlText w:val=""/>
      <w:lvlJc w:val="left"/>
      <w:pPr>
        <w:ind w:left="4320" w:hanging="360"/>
      </w:pPr>
      <w:rPr>
        <w:rFonts w:ascii="Wingdings" w:hAnsi="Wingdings" w:hint="default"/>
      </w:rPr>
    </w:lvl>
    <w:lvl w:ilvl="6" w:tplc="50F65E8C">
      <w:start w:val="1"/>
      <w:numFmt w:val="bullet"/>
      <w:lvlText w:val=""/>
      <w:lvlJc w:val="left"/>
      <w:pPr>
        <w:ind w:left="5040" w:hanging="360"/>
      </w:pPr>
      <w:rPr>
        <w:rFonts w:ascii="Symbol" w:hAnsi="Symbol" w:hint="default"/>
      </w:rPr>
    </w:lvl>
    <w:lvl w:ilvl="7" w:tplc="B88C5ABC">
      <w:start w:val="1"/>
      <w:numFmt w:val="bullet"/>
      <w:lvlText w:val="o"/>
      <w:lvlJc w:val="left"/>
      <w:pPr>
        <w:ind w:left="5760" w:hanging="360"/>
      </w:pPr>
      <w:rPr>
        <w:rFonts w:ascii="Courier New" w:hAnsi="Courier New" w:hint="default"/>
      </w:rPr>
    </w:lvl>
    <w:lvl w:ilvl="8" w:tplc="69FEBD68">
      <w:start w:val="1"/>
      <w:numFmt w:val="bullet"/>
      <w:lvlText w:val=""/>
      <w:lvlJc w:val="left"/>
      <w:pPr>
        <w:ind w:left="6480" w:hanging="360"/>
      </w:pPr>
      <w:rPr>
        <w:rFonts w:ascii="Wingdings" w:hAnsi="Wingdings" w:hint="default"/>
      </w:rPr>
    </w:lvl>
  </w:abstractNum>
  <w:abstractNum w:abstractNumId="7" w15:restartNumberingAfterBreak="0">
    <w:nsid w:val="596D79B1"/>
    <w:multiLevelType w:val="hybridMultilevel"/>
    <w:tmpl w:val="90744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4B4798"/>
    <w:multiLevelType w:val="hybridMultilevel"/>
    <w:tmpl w:val="0A3CE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EE0597"/>
    <w:multiLevelType w:val="hybridMultilevel"/>
    <w:tmpl w:val="478293B4"/>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2CF6F3C"/>
    <w:multiLevelType w:val="hybridMultilevel"/>
    <w:tmpl w:val="4EF0D4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50245A"/>
    <w:multiLevelType w:val="hybridMultilevel"/>
    <w:tmpl w:val="C94AB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A0685E"/>
    <w:multiLevelType w:val="hybridMultilevel"/>
    <w:tmpl w:val="73F290BA"/>
    <w:lvl w:ilvl="0" w:tplc="94E0DF88">
      <w:start w:val="1"/>
      <w:numFmt w:val="bullet"/>
      <w:lvlText w:val=""/>
      <w:lvlJc w:val="left"/>
      <w:pPr>
        <w:ind w:left="720" w:hanging="360"/>
      </w:pPr>
      <w:rPr>
        <w:rFonts w:ascii="Symbol" w:hAnsi="Symbol" w:hint="default"/>
      </w:rPr>
    </w:lvl>
    <w:lvl w:ilvl="1" w:tplc="FB08EB12">
      <w:start w:val="1"/>
      <w:numFmt w:val="bullet"/>
      <w:lvlText w:val="o"/>
      <w:lvlJc w:val="left"/>
      <w:pPr>
        <w:ind w:left="1440" w:hanging="360"/>
      </w:pPr>
      <w:rPr>
        <w:rFonts w:ascii="Courier New" w:hAnsi="Courier New" w:hint="default"/>
      </w:rPr>
    </w:lvl>
    <w:lvl w:ilvl="2" w:tplc="D3723A50">
      <w:start w:val="1"/>
      <w:numFmt w:val="bullet"/>
      <w:lvlText w:val=""/>
      <w:lvlJc w:val="left"/>
      <w:pPr>
        <w:ind w:left="2160" w:hanging="360"/>
      </w:pPr>
      <w:rPr>
        <w:rFonts w:ascii="Wingdings" w:hAnsi="Wingdings" w:hint="default"/>
      </w:rPr>
    </w:lvl>
    <w:lvl w:ilvl="3" w:tplc="969EB874">
      <w:start w:val="1"/>
      <w:numFmt w:val="bullet"/>
      <w:lvlText w:val=""/>
      <w:lvlJc w:val="left"/>
      <w:pPr>
        <w:ind w:left="2880" w:hanging="360"/>
      </w:pPr>
      <w:rPr>
        <w:rFonts w:ascii="Symbol" w:hAnsi="Symbol" w:hint="default"/>
      </w:rPr>
    </w:lvl>
    <w:lvl w:ilvl="4" w:tplc="D452D32E">
      <w:start w:val="1"/>
      <w:numFmt w:val="bullet"/>
      <w:lvlText w:val="o"/>
      <w:lvlJc w:val="left"/>
      <w:pPr>
        <w:ind w:left="3600" w:hanging="360"/>
      </w:pPr>
      <w:rPr>
        <w:rFonts w:ascii="Courier New" w:hAnsi="Courier New" w:hint="default"/>
      </w:rPr>
    </w:lvl>
    <w:lvl w:ilvl="5" w:tplc="315E5102">
      <w:start w:val="1"/>
      <w:numFmt w:val="bullet"/>
      <w:lvlText w:val=""/>
      <w:lvlJc w:val="left"/>
      <w:pPr>
        <w:ind w:left="4320" w:hanging="360"/>
      </w:pPr>
      <w:rPr>
        <w:rFonts w:ascii="Wingdings" w:hAnsi="Wingdings" w:hint="default"/>
      </w:rPr>
    </w:lvl>
    <w:lvl w:ilvl="6" w:tplc="4F72276E">
      <w:start w:val="1"/>
      <w:numFmt w:val="bullet"/>
      <w:lvlText w:val=""/>
      <w:lvlJc w:val="left"/>
      <w:pPr>
        <w:ind w:left="5040" w:hanging="360"/>
      </w:pPr>
      <w:rPr>
        <w:rFonts w:ascii="Symbol" w:hAnsi="Symbol" w:hint="default"/>
      </w:rPr>
    </w:lvl>
    <w:lvl w:ilvl="7" w:tplc="F8BCD6AC">
      <w:start w:val="1"/>
      <w:numFmt w:val="bullet"/>
      <w:lvlText w:val="o"/>
      <w:lvlJc w:val="left"/>
      <w:pPr>
        <w:ind w:left="5760" w:hanging="360"/>
      </w:pPr>
      <w:rPr>
        <w:rFonts w:ascii="Courier New" w:hAnsi="Courier New" w:hint="default"/>
      </w:rPr>
    </w:lvl>
    <w:lvl w:ilvl="8" w:tplc="027219EA">
      <w:start w:val="1"/>
      <w:numFmt w:val="bullet"/>
      <w:lvlText w:val=""/>
      <w:lvlJc w:val="left"/>
      <w:pPr>
        <w:ind w:left="6480" w:hanging="360"/>
      </w:pPr>
      <w:rPr>
        <w:rFonts w:ascii="Wingdings" w:hAnsi="Wingdings" w:hint="default"/>
      </w:rPr>
    </w:lvl>
  </w:abstractNum>
  <w:abstractNum w:abstractNumId="13" w15:restartNumberingAfterBreak="0">
    <w:nsid w:val="78883A1C"/>
    <w:multiLevelType w:val="multilevel"/>
    <w:tmpl w:val="B87C1B54"/>
    <w:lvl w:ilvl="0">
      <w:start w:val="1"/>
      <w:numFmt w:val="decimal"/>
      <w:lvlText w:val="%1."/>
      <w:lvlJc w:val="left"/>
      <w:pPr>
        <w:ind w:left="720" w:hanging="360"/>
      </w:pPr>
      <w:rPr>
        <w:rFonts w:hint="default"/>
      </w:r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8B04EC4"/>
    <w:multiLevelType w:val="hybridMultilevel"/>
    <w:tmpl w:val="E8D26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0"/>
  </w:num>
  <w:num w:numId="5">
    <w:abstractNumId w:val="14"/>
  </w:num>
  <w:num w:numId="6">
    <w:abstractNumId w:val="6"/>
  </w:num>
  <w:num w:numId="7">
    <w:abstractNumId w:val="13"/>
  </w:num>
  <w:num w:numId="8">
    <w:abstractNumId w:val="2"/>
  </w:num>
  <w:num w:numId="9">
    <w:abstractNumId w:val="7"/>
  </w:num>
  <w:num w:numId="10">
    <w:abstractNumId w:val="4"/>
  </w:num>
  <w:num w:numId="11">
    <w:abstractNumId w:val="3"/>
  </w:num>
  <w:num w:numId="12">
    <w:abstractNumId w:val="9"/>
  </w:num>
  <w:num w:numId="13">
    <w:abstractNumId w:val="10"/>
  </w:num>
  <w:num w:numId="14">
    <w:abstractNumId w:val="11"/>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F1"/>
    <w:rsid w:val="00000E21"/>
    <w:rsid w:val="00002A78"/>
    <w:rsid w:val="00003743"/>
    <w:rsid w:val="0001697C"/>
    <w:rsid w:val="00025D21"/>
    <w:rsid w:val="00032377"/>
    <w:rsid w:val="00033DE9"/>
    <w:rsid w:val="00036B56"/>
    <w:rsid w:val="00051307"/>
    <w:rsid w:val="000519A3"/>
    <w:rsid w:val="00054F80"/>
    <w:rsid w:val="00057FAB"/>
    <w:rsid w:val="000655B2"/>
    <w:rsid w:val="00067456"/>
    <w:rsid w:val="00070106"/>
    <w:rsid w:val="00085A75"/>
    <w:rsid w:val="00086592"/>
    <w:rsid w:val="000919C3"/>
    <w:rsid w:val="00093949"/>
    <w:rsid w:val="000A08AF"/>
    <w:rsid w:val="000A4F30"/>
    <w:rsid w:val="000B3FA3"/>
    <w:rsid w:val="000B6D29"/>
    <w:rsid w:val="000C1CC5"/>
    <w:rsid w:val="000D006D"/>
    <w:rsid w:val="000D09B7"/>
    <w:rsid w:val="000D1F52"/>
    <w:rsid w:val="000D2761"/>
    <w:rsid w:val="000E4C4B"/>
    <w:rsid w:val="000E54B5"/>
    <w:rsid w:val="00102819"/>
    <w:rsid w:val="001032B6"/>
    <w:rsid w:val="001074F4"/>
    <w:rsid w:val="00115B1D"/>
    <w:rsid w:val="001258E3"/>
    <w:rsid w:val="00132953"/>
    <w:rsid w:val="00140225"/>
    <w:rsid w:val="00140D24"/>
    <w:rsid w:val="00145937"/>
    <w:rsid w:val="001471AE"/>
    <w:rsid w:val="00152889"/>
    <w:rsid w:val="0016461E"/>
    <w:rsid w:val="001677B5"/>
    <w:rsid w:val="00167B6E"/>
    <w:rsid w:val="001705EB"/>
    <w:rsid w:val="00174747"/>
    <w:rsid w:val="001867D5"/>
    <w:rsid w:val="00186AFA"/>
    <w:rsid w:val="001903F0"/>
    <w:rsid w:val="00192005"/>
    <w:rsid w:val="001A18FC"/>
    <w:rsid w:val="001A5C5D"/>
    <w:rsid w:val="001B3443"/>
    <w:rsid w:val="001B6291"/>
    <w:rsid w:val="001C03BC"/>
    <w:rsid w:val="001C0A80"/>
    <w:rsid w:val="001D50E8"/>
    <w:rsid w:val="001D79C3"/>
    <w:rsid w:val="001D7C2B"/>
    <w:rsid w:val="001E1D75"/>
    <w:rsid w:val="001E3C77"/>
    <w:rsid w:val="001E472C"/>
    <w:rsid w:val="001F1964"/>
    <w:rsid w:val="002006D6"/>
    <w:rsid w:val="00211205"/>
    <w:rsid w:val="00222D8B"/>
    <w:rsid w:val="00230932"/>
    <w:rsid w:val="00240F66"/>
    <w:rsid w:val="00243D6C"/>
    <w:rsid w:val="0025107C"/>
    <w:rsid w:val="0025129C"/>
    <w:rsid w:val="0026047D"/>
    <w:rsid w:val="00264E43"/>
    <w:rsid w:val="00271FCA"/>
    <w:rsid w:val="002738C7"/>
    <w:rsid w:val="00282B18"/>
    <w:rsid w:val="00292549"/>
    <w:rsid w:val="00297036"/>
    <w:rsid w:val="002B1D74"/>
    <w:rsid w:val="002B5080"/>
    <w:rsid w:val="002B5713"/>
    <w:rsid w:val="002B62F6"/>
    <w:rsid w:val="002B79F6"/>
    <w:rsid w:val="002C4A40"/>
    <w:rsid w:val="002D0A9C"/>
    <w:rsid w:val="002D4E5D"/>
    <w:rsid w:val="002D62AD"/>
    <w:rsid w:val="002F3AE3"/>
    <w:rsid w:val="002F62B9"/>
    <w:rsid w:val="002F634F"/>
    <w:rsid w:val="00300812"/>
    <w:rsid w:val="00301D10"/>
    <w:rsid w:val="00304219"/>
    <w:rsid w:val="003065AD"/>
    <w:rsid w:val="00306B4E"/>
    <w:rsid w:val="0030786C"/>
    <w:rsid w:val="003204C2"/>
    <w:rsid w:val="00322BA5"/>
    <w:rsid w:val="00330822"/>
    <w:rsid w:val="003353CC"/>
    <w:rsid w:val="003424C3"/>
    <w:rsid w:val="00345F63"/>
    <w:rsid w:val="00347615"/>
    <w:rsid w:val="00350A98"/>
    <w:rsid w:val="003542B2"/>
    <w:rsid w:val="00354EDB"/>
    <w:rsid w:val="0036128F"/>
    <w:rsid w:val="003706AE"/>
    <w:rsid w:val="0037409F"/>
    <w:rsid w:val="00377D73"/>
    <w:rsid w:val="00381851"/>
    <w:rsid w:val="00390986"/>
    <w:rsid w:val="003A3029"/>
    <w:rsid w:val="003D17F9"/>
    <w:rsid w:val="003E5856"/>
    <w:rsid w:val="003F329B"/>
    <w:rsid w:val="00400221"/>
    <w:rsid w:val="004026AF"/>
    <w:rsid w:val="00405D51"/>
    <w:rsid w:val="0041506A"/>
    <w:rsid w:val="00416356"/>
    <w:rsid w:val="00423339"/>
    <w:rsid w:val="00426F72"/>
    <w:rsid w:val="0044646E"/>
    <w:rsid w:val="00454387"/>
    <w:rsid w:val="00456ECA"/>
    <w:rsid w:val="004674A7"/>
    <w:rsid w:val="00470982"/>
    <w:rsid w:val="0047610C"/>
    <w:rsid w:val="0048225C"/>
    <w:rsid w:val="004867E2"/>
    <w:rsid w:val="00491374"/>
    <w:rsid w:val="004979F9"/>
    <w:rsid w:val="004A2219"/>
    <w:rsid w:val="004A62EC"/>
    <w:rsid w:val="004F532A"/>
    <w:rsid w:val="00503BF0"/>
    <w:rsid w:val="0051215F"/>
    <w:rsid w:val="00513053"/>
    <w:rsid w:val="00520C01"/>
    <w:rsid w:val="0052574E"/>
    <w:rsid w:val="00526663"/>
    <w:rsid w:val="00527238"/>
    <w:rsid w:val="00533484"/>
    <w:rsid w:val="00535E88"/>
    <w:rsid w:val="00537B96"/>
    <w:rsid w:val="00544D04"/>
    <w:rsid w:val="005563FF"/>
    <w:rsid w:val="005864E4"/>
    <w:rsid w:val="00586CE9"/>
    <w:rsid w:val="00586FC6"/>
    <w:rsid w:val="00590B4D"/>
    <w:rsid w:val="00591B56"/>
    <w:rsid w:val="005A4236"/>
    <w:rsid w:val="005A60B3"/>
    <w:rsid w:val="005A68AD"/>
    <w:rsid w:val="005B3E41"/>
    <w:rsid w:val="005C0383"/>
    <w:rsid w:val="005D41AD"/>
    <w:rsid w:val="005E12CB"/>
    <w:rsid w:val="005E20A2"/>
    <w:rsid w:val="005E4921"/>
    <w:rsid w:val="005E56B5"/>
    <w:rsid w:val="005F0204"/>
    <w:rsid w:val="005F55CD"/>
    <w:rsid w:val="005F67A1"/>
    <w:rsid w:val="00603D02"/>
    <w:rsid w:val="00607A5B"/>
    <w:rsid w:val="006106CE"/>
    <w:rsid w:val="00626764"/>
    <w:rsid w:val="00626BBA"/>
    <w:rsid w:val="00627E67"/>
    <w:rsid w:val="0063319E"/>
    <w:rsid w:val="006376B3"/>
    <w:rsid w:val="006405FE"/>
    <w:rsid w:val="00642C4D"/>
    <w:rsid w:val="00644A5B"/>
    <w:rsid w:val="00644C62"/>
    <w:rsid w:val="00664A61"/>
    <w:rsid w:val="0066504C"/>
    <w:rsid w:val="00685C21"/>
    <w:rsid w:val="00690135"/>
    <w:rsid w:val="00691AF0"/>
    <w:rsid w:val="006923A1"/>
    <w:rsid w:val="006931C1"/>
    <w:rsid w:val="00694116"/>
    <w:rsid w:val="006975E8"/>
    <w:rsid w:val="006A043F"/>
    <w:rsid w:val="006A4B44"/>
    <w:rsid w:val="006B46E6"/>
    <w:rsid w:val="006B4F5A"/>
    <w:rsid w:val="006B5219"/>
    <w:rsid w:val="006C455A"/>
    <w:rsid w:val="006C516E"/>
    <w:rsid w:val="006D1AD4"/>
    <w:rsid w:val="006D4F12"/>
    <w:rsid w:val="006D6F8B"/>
    <w:rsid w:val="006E45D8"/>
    <w:rsid w:val="006E4932"/>
    <w:rsid w:val="006F07BA"/>
    <w:rsid w:val="006F7D13"/>
    <w:rsid w:val="00700CD2"/>
    <w:rsid w:val="00700CE9"/>
    <w:rsid w:val="00706777"/>
    <w:rsid w:val="00710036"/>
    <w:rsid w:val="00711CE3"/>
    <w:rsid w:val="00716976"/>
    <w:rsid w:val="00720DC4"/>
    <w:rsid w:val="007221C8"/>
    <w:rsid w:val="007232BE"/>
    <w:rsid w:val="007244F3"/>
    <w:rsid w:val="00730604"/>
    <w:rsid w:val="00731C0E"/>
    <w:rsid w:val="00734499"/>
    <w:rsid w:val="00736E8D"/>
    <w:rsid w:val="00736FBE"/>
    <w:rsid w:val="0075108B"/>
    <w:rsid w:val="00761441"/>
    <w:rsid w:val="00770F6F"/>
    <w:rsid w:val="00774BCB"/>
    <w:rsid w:val="007809CE"/>
    <w:rsid w:val="00780DC4"/>
    <w:rsid w:val="00780F6D"/>
    <w:rsid w:val="007837BE"/>
    <w:rsid w:val="007950E5"/>
    <w:rsid w:val="007A1B5F"/>
    <w:rsid w:val="007B1D68"/>
    <w:rsid w:val="007B2A34"/>
    <w:rsid w:val="007C05E4"/>
    <w:rsid w:val="007C7D67"/>
    <w:rsid w:val="007D4747"/>
    <w:rsid w:val="007E73A5"/>
    <w:rsid w:val="007F67A4"/>
    <w:rsid w:val="00812571"/>
    <w:rsid w:val="008248B0"/>
    <w:rsid w:val="008264EB"/>
    <w:rsid w:val="008309D3"/>
    <w:rsid w:val="00830DAA"/>
    <w:rsid w:val="00836DF9"/>
    <w:rsid w:val="008419D7"/>
    <w:rsid w:val="00845204"/>
    <w:rsid w:val="00851C77"/>
    <w:rsid w:val="00854F3C"/>
    <w:rsid w:val="008613D7"/>
    <w:rsid w:val="00871E5B"/>
    <w:rsid w:val="00872536"/>
    <w:rsid w:val="00873DEC"/>
    <w:rsid w:val="0088000E"/>
    <w:rsid w:val="00887968"/>
    <w:rsid w:val="008A22F8"/>
    <w:rsid w:val="008A30A2"/>
    <w:rsid w:val="008A5208"/>
    <w:rsid w:val="008B315E"/>
    <w:rsid w:val="008B4376"/>
    <w:rsid w:val="008B55C0"/>
    <w:rsid w:val="008C1EF6"/>
    <w:rsid w:val="008C4258"/>
    <w:rsid w:val="008C6901"/>
    <w:rsid w:val="008D22A8"/>
    <w:rsid w:val="008D5595"/>
    <w:rsid w:val="008E49C7"/>
    <w:rsid w:val="008F3690"/>
    <w:rsid w:val="008F784F"/>
    <w:rsid w:val="00901878"/>
    <w:rsid w:val="00920271"/>
    <w:rsid w:val="00924B9F"/>
    <w:rsid w:val="009258A3"/>
    <w:rsid w:val="00933734"/>
    <w:rsid w:val="00944B06"/>
    <w:rsid w:val="009559FD"/>
    <w:rsid w:val="009560B3"/>
    <w:rsid w:val="00973EF0"/>
    <w:rsid w:val="0097710A"/>
    <w:rsid w:val="009A19C8"/>
    <w:rsid w:val="009C0CBF"/>
    <w:rsid w:val="009C55E7"/>
    <w:rsid w:val="009D043E"/>
    <w:rsid w:val="009D6804"/>
    <w:rsid w:val="009D6814"/>
    <w:rsid w:val="009E3DF0"/>
    <w:rsid w:val="009E68AC"/>
    <w:rsid w:val="009F0D1B"/>
    <w:rsid w:val="009F4AD3"/>
    <w:rsid w:val="00A02B26"/>
    <w:rsid w:val="00A1369C"/>
    <w:rsid w:val="00A14CF8"/>
    <w:rsid w:val="00A2501A"/>
    <w:rsid w:val="00A33E6A"/>
    <w:rsid w:val="00A37BB1"/>
    <w:rsid w:val="00A44007"/>
    <w:rsid w:val="00A4512D"/>
    <w:rsid w:val="00A52461"/>
    <w:rsid w:val="00A556CF"/>
    <w:rsid w:val="00A55B4F"/>
    <w:rsid w:val="00A705AF"/>
    <w:rsid w:val="00A82AA9"/>
    <w:rsid w:val="00A96923"/>
    <w:rsid w:val="00A97DC8"/>
    <w:rsid w:val="00AA5B62"/>
    <w:rsid w:val="00AA727F"/>
    <w:rsid w:val="00AB14BB"/>
    <w:rsid w:val="00AC2001"/>
    <w:rsid w:val="00AC4077"/>
    <w:rsid w:val="00AC6380"/>
    <w:rsid w:val="00AC6C21"/>
    <w:rsid w:val="00AE21D2"/>
    <w:rsid w:val="00AE3B8A"/>
    <w:rsid w:val="00B07244"/>
    <w:rsid w:val="00B1105B"/>
    <w:rsid w:val="00B20127"/>
    <w:rsid w:val="00B321B8"/>
    <w:rsid w:val="00B42851"/>
    <w:rsid w:val="00B466A3"/>
    <w:rsid w:val="00B53ACB"/>
    <w:rsid w:val="00B567FA"/>
    <w:rsid w:val="00B7240D"/>
    <w:rsid w:val="00B80365"/>
    <w:rsid w:val="00B81442"/>
    <w:rsid w:val="00B824B7"/>
    <w:rsid w:val="00B86A98"/>
    <w:rsid w:val="00B9110F"/>
    <w:rsid w:val="00BA324B"/>
    <w:rsid w:val="00BA4679"/>
    <w:rsid w:val="00BB2F6B"/>
    <w:rsid w:val="00BC2BD5"/>
    <w:rsid w:val="00BE38EC"/>
    <w:rsid w:val="00BF0455"/>
    <w:rsid w:val="00BF17BE"/>
    <w:rsid w:val="00BF1DDA"/>
    <w:rsid w:val="00BF3C98"/>
    <w:rsid w:val="00BF4216"/>
    <w:rsid w:val="00C0016D"/>
    <w:rsid w:val="00C01075"/>
    <w:rsid w:val="00C11532"/>
    <w:rsid w:val="00C153A3"/>
    <w:rsid w:val="00C24DC5"/>
    <w:rsid w:val="00C344C0"/>
    <w:rsid w:val="00C37B8D"/>
    <w:rsid w:val="00C40AB1"/>
    <w:rsid w:val="00C50149"/>
    <w:rsid w:val="00C57ED9"/>
    <w:rsid w:val="00C71364"/>
    <w:rsid w:val="00C75B7C"/>
    <w:rsid w:val="00C91C6D"/>
    <w:rsid w:val="00C92F39"/>
    <w:rsid w:val="00C97B5C"/>
    <w:rsid w:val="00CA2D03"/>
    <w:rsid w:val="00CA4FF1"/>
    <w:rsid w:val="00CB1C78"/>
    <w:rsid w:val="00CB27AB"/>
    <w:rsid w:val="00CB5B1A"/>
    <w:rsid w:val="00CC765F"/>
    <w:rsid w:val="00CD105F"/>
    <w:rsid w:val="00CD219F"/>
    <w:rsid w:val="00CD4F21"/>
    <w:rsid w:val="00CD5F93"/>
    <w:rsid w:val="00CE421E"/>
    <w:rsid w:val="00CE444D"/>
    <w:rsid w:val="00CF594B"/>
    <w:rsid w:val="00D018D2"/>
    <w:rsid w:val="00D05AAA"/>
    <w:rsid w:val="00D156DB"/>
    <w:rsid w:val="00D1634A"/>
    <w:rsid w:val="00D17670"/>
    <w:rsid w:val="00D214EF"/>
    <w:rsid w:val="00D241E4"/>
    <w:rsid w:val="00D30B1C"/>
    <w:rsid w:val="00D32C22"/>
    <w:rsid w:val="00D35107"/>
    <w:rsid w:val="00D4357D"/>
    <w:rsid w:val="00D50789"/>
    <w:rsid w:val="00D56EBE"/>
    <w:rsid w:val="00D60C56"/>
    <w:rsid w:val="00D62585"/>
    <w:rsid w:val="00D67286"/>
    <w:rsid w:val="00D67711"/>
    <w:rsid w:val="00D7226B"/>
    <w:rsid w:val="00D81A9D"/>
    <w:rsid w:val="00D82D99"/>
    <w:rsid w:val="00D91A59"/>
    <w:rsid w:val="00D922A9"/>
    <w:rsid w:val="00D9538B"/>
    <w:rsid w:val="00D977CC"/>
    <w:rsid w:val="00DA1390"/>
    <w:rsid w:val="00DC1CD0"/>
    <w:rsid w:val="00DD5B83"/>
    <w:rsid w:val="00DE18DC"/>
    <w:rsid w:val="00DE23A3"/>
    <w:rsid w:val="00DE305C"/>
    <w:rsid w:val="00DE4D9D"/>
    <w:rsid w:val="00DE5EE0"/>
    <w:rsid w:val="00DE6C31"/>
    <w:rsid w:val="00DE767E"/>
    <w:rsid w:val="00DF3271"/>
    <w:rsid w:val="00DF4A31"/>
    <w:rsid w:val="00E009A9"/>
    <w:rsid w:val="00E056E1"/>
    <w:rsid w:val="00E113CA"/>
    <w:rsid w:val="00E2094F"/>
    <w:rsid w:val="00E35B78"/>
    <w:rsid w:val="00E37260"/>
    <w:rsid w:val="00E4336A"/>
    <w:rsid w:val="00E55CBB"/>
    <w:rsid w:val="00E60C2F"/>
    <w:rsid w:val="00E622FD"/>
    <w:rsid w:val="00E657A9"/>
    <w:rsid w:val="00E701F6"/>
    <w:rsid w:val="00E732E0"/>
    <w:rsid w:val="00E81512"/>
    <w:rsid w:val="00E921ED"/>
    <w:rsid w:val="00E940B1"/>
    <w:rsid w:val="00EA46AA"/>
    <w:rsid w:val="00EA6FD0"/>
    <w:rsid w:val="00EC04EC"/>
    <w:rsid w:val="00EC18DE"/>
    <w:rsid w:val="00ED1D29"/>
    <w:rsid w:val="00ED1ED3"/>
    <w:rsid w:val="00EF1D1E"/>
    <w:rsid w:val="00EF3802"/>
    <w:rsid w:val="00EF4481"/>
    <w:rsid w:val="00EF6D0A"/>
    <w:rsid w:val="00EF7053"/>
    <w:rsid w:val="00F100A0"/>
    <w:rsid w:val="00F1680C"/>
    <w:rsid w:val="00F17F4F"/>
    <w:rsid w:val="00F2229B"/>
    <w:rsid w:val="00F24B50"/>
    <w:rsid w:val="00F26998"/>
    <w:rsid w:val="00F26FC0"/>
    <w:rsid w:val="00F33495"/>
    <w:rsid w:val="00F356DF"/>
    <w:rsid w:val="00F36A1F"/>
    <w:rsid w:val="00F40B0E"/>
    <w:rsid w:val="00F40EFA"/>
    <w:rsid w:val="00F52477"/>
    <w:rsid w:val="00F560CB"/>
    <w:rsid w:val="00F56616"/>
    <w:rsid w:val="00F56D48"/>
    <w:rsid w:val="00F56F0C"/>
    <w:rsid w:val="00F721B0"/>
    <w:rsid w:val="00F77B2C"/>
    <w:rsid w:val="00F83FEC"/>
    <w:rsid w:val="00F850DB"/>
    <w:rsid w:val="00F86DC0"/>
    <w:rsid w:val="00F9073A"/>
    <w:rsid w:val="00F9196D"/>
    <w:rsid w:val="00F94315"/>
    <w:rsid w:val="00F9470B"/>
    <w:rsid w:val="00F94F2A"/>
    <w:rsid w:val="00F97AAE"/>
    <w:rsid w:val="00FA2537"/>
    <w:rsid w:val="00FA2A70"/>
    <w:rsid w:val="00FC1531"/>
    <w:rsid w:val="00FC2A5C"/>
    <w:rsid w:val="00FC4789"/>
    <w:rsid w:val="00FE08EB"/>
    <w:rsid w:val="00FF2A2B"/>
    <w:rsid w:val="00FF5BCB"/>
    <w:rsid w:val="0498B59D"/>
    <w:rsid w:val="05AB1E15"/>
    <w:rsid w:val="0876D131"/>
    <w:rsid w:val="0C7E8862"/>
    <w:rsid w:val="1613FD00"/>
    <w:rsid w:val="1653B449"/>
    <w:rsid w:val="21F6D08A"/>
    <w:rsid w:val="28AD98B3"/>
    <w:rsid w:val="29ACE684"/>
    <w:rsid w:val="2ADC5CCB"/>
    <w:rsid w:val="328313F8"/>
    <w:rsid w:val="3BCA9140"/>
    <w:rsid w:val="4427472C"/>
    <w:rsid w:val="4C5A23E0"/>
    <w:rsid w:val="52CC5DCA"/>
    <w:rsid w:val="555057DD"/>
    <w:rsid w:val="63F5B43A"/>
    <w:rsid w:val="689995F4"/>
    <w:rsid w:val="6EC1790C"/>
    <w:rsid w:val="78CE9E6B"/>
    <w:rsid w:val="7D0EBDAB"/>
    <w:rsid w:val="7F21F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04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F1"/>
    <w:rPr>
      <w:rFonts w:asciiTheme="minorHAnsi" w:hAnsiTheme="minorHAnsi"/>
      <w:szCs w:val="24"/>
      <w:lang w:eastAsia="en-US"/>
    </w:rPr>
  </w:style>
  <w:style w:type="paragraph" w:styleId="Heading1">
    <w:name w:val="heading 1"/>
    <w:basedOn w:val="Normal"/>
    <w:next w:val="Normal"/>
    <w:qFormat/>
    <w:rsid w:val="000C1CC5"/>
    <w:pPr>
      <w:keepNext/>
      <w:spacing w:before="240" w:after="60"/>
      <w:outlineLvl w:val="0"/>
    </w:pPr>
    <w:rPr>
      <w:rFonts w:ascii="Arial" w:hAnsi="Arial" w:cs="Arial"/>
      <w:b/>
      <w:bCs/>
      <w:kern w:val="28"/>
      <w:sz w:val="32"/>
      <w:szCs w:val="32"/>
    </w:rPr>
  </w:style>
  <w:style w:type="paragraph" w:styleId="Heading2">
    <w:name w:val="heading 2"/>
    <w:basedOn w:val="Normal"/>
    <w:next w:val="Normal"/>
    <w:link w:val="Heading2Char"/>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47610C"/>
    <w:pPr>
      <w:keepNext/>
      <w:spacing w:before="240" w:after="60"/>
      <w:outlineLvl w:val="3"/>
    </w:pPr>
    <w:rPr>
      <w:rFonts w:ascii="Arial" w:hAnsi="Arial"/>
      <w:bCs/>
      <w:i/>
      <w:sz w:val="22"/>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 point,List Paragraph1,List Paragraph11,Recommendation,standard lewis,Bullet Point,Bulletr List Paragraph,Content descriptions,FooterText,L,List Bullet 1,List Paragraph2,List Paragraph21,Listeafsnit1,NFP GP Bulleted List,リスト段落"/>
    <w:basedOn w:val="Normal"/>
    <w:link w:val="ListParagraphChar"/>
    <w:uiPriority w:val="34"/>
    <w:qFormat/>
    <w:rsid w:val="00A4512D"/>
    <w:pPr>
      <w:ind w:left="720"/>
      <w:contextualSpacing/>
    </w:pPr>
  </w:style>
  <w:style w:type="paragraph" w:styleId="FootnoteText">
    <w:name w:val="footnote text"/>
    <w:basedOn w:val="Normal"/>
    <w:link w:val="FootnoteTextChar"/>
    <w:unhideWhenUsed/>
    <w:rsid w:val="00CA4FF1"/>
    <w:rPr>
      <w:sz w:val="20"/>
      <w:szCs w:val="20"/>
    </w:rPr>
  </w:style>
  <w:style w:type="character" w:customStyle="1" w:styleId="FootnoteTextChar">
    <w:name w:val="Footnote Text Char"/>
    <w:basedOn w:val="DefaultParagraphFont"/>
    <w:link w:val="FootnoteText"/>
    <w:rsid w:val="00CA4FF1"/>
    <w:rPr>
      <w:rFonts w:asciiTheme="minorHAnsi" w:hAnsiTheme="minorHAnsi"/>
      <w:sz w:val="20"/>
      <w:lang w:eastAsia="en-US"/>
    </w:rPr>
  </w:style>
  <w:style w:type="character" w:styleId="FootnoteReference">
    <w:name w:val="footnote reference"/>
    <w:basedOn w:val="DefaultParagraphFont"/>
    <w:unhideWhenUsed/>
    <w:rsid w:val="00CA4FF1"/>
    <w:rPr>
      <w:vertAlign w:val="superscript"/>
    </w:rPr>
  </w:style>
  <w:style w:type="character" w:styleId="CommentReference">
    <w:name w:val="annotation reference"/>
    <w:basedOn w:val="DefaultParagraphFont"/>
    <w:unhideWhenUsed/>
    <w:rsid w:val="00CA4FF1"/>
    <w:rPr>
      <w:sz w:val="16"/>
      <w:szCs w:val="16"/>
    </w:rPr>
  </w:style>
  <w:style w:type="paragraph" w:styleId="CommentText">
    <w:name w:val="annotation text"/>
    <w:basedOn w:val="Normal"/>
    <w:link w:val="CommentTextChar"/>
    <w:unhideWhenUsed/>
    <w:rsid w:val="00CA4FF1"/>
    <w:rPr>
      <w:sz w:val="20"/>
      <w:szCs w:val="20"/>
    </w:rPr>
  </w:style>
  <w:style w:type="character" w:customStyle="1" w:styleId="CommentTextChar">
    <w:name w:val="Comment Text Char"/>
    <w:basedOn w:val="DefaultParagraphFont"/>
    <w:link w:val="CommentText"/>
    <w:rsid w:val="00CA4FF1"/>
    <w:rPr>
      <w:rFonts w:asciiTheme="minorHAnsi" w:hAnsiTheme="minorHAnsi"/>
      <w:sz w:val="20"/>
      <w:lang w:eastAsia="en-US"/>
    </w:rPr>
  </w:style>
  <w:style w:type="paragraph" w:customStyle="1" w:styleId="Default">
    <w:name w:val="Default"/>
    <w:rsid w:val="00CA4FF1"/>
    <w:pPr>
      <w:autoSpaceDE w:val="0"/>
      <w:autoSpaceDN w:val="0"/>
      <w:adjustRightInd w:val="0"/>
    </w:pPr>
    <w:rPr>
      <w:rFonts w:cs="Calibri"/>
      <w:color w:val="000000"/>
      <w:szCs w:val="24"/>
    </w:rPr>
  </w:style>
  <w:style w:type="paragraph" w:styleId="BalloonText">
    <w:name w:val="Balloon Text"/>
    <w:basedOn w:val="Normal"/>
    <w:link w:val="BalloonTextChar"/>
    <w:rsid w:val="00CA4FF1"/>
    <w:rPr>
      <w:rFonts w:ascii="Tahoma" w:hAnsi="Tahoma" w:cs="Tahoma"/>
      <w:sz w:val="16"/>
      <w:szCs w:val="16"/>
    </w:rPr>
  </w:style>
  <w:style w:type="character" w:customStyle="1" w:styleId="BalloonTextChar">
    <w:name w:val="Balloon Text Char"/>
    <w:basedOn w:val="DefaultParagraphFont"/>
    <w:link w:val="BalloonText"/>
    <w:rsid w:val="00CA4FF1"/>
    <w:rPr>
      <w:rFonts w:ascii="Tahoma" w:hAnsi="Tahoma" w:cs="Tahoma"/>
      <w:sz w:val="16"/>
      <w:szCs w:val="16"/>
      <w:lang w:eastAsia="en-US"/>
    </w:rPr>
  </w:style>
  <w:style w:type="paragraph" w:styleId="Header">
    <w:name w:val="header"/>
    <w:basedOn w:val="Normal"/>
    <w:link w:val="HeaderChar"/>
    <w:rsid w:val="00CA4FF1"/>
    <w:pPr>
      <w:tabs>
        <w:tab w:val="center" w:pos="4513"/>
        <w:tab w:val="right" w:pos="9026"/>
      </w:tabs>
    </w:pPr>
  </w:style>
  <w:style w:type="character" w:customStyle="1" w:styleId="HeaderChar">
    <w:name w:val="Header Char"/>
    <w:basedOn w:val="DefaultParagraphFont"/>
    <w:link w:val="Header"/>
    <w:rsid w:val="00CA4FF1"/>
    <w:rPr>
      <w:rFonts w:asciiTheme="minorHAnsi" w:hAnsiTheme="minorHAnsi"/>
      <w:szCs w:val="24"/>
      <w:lang w:eastAsia="en-US"/>
    </w:rPr>
  </w:style>
  <w:style w:type="paragraph" w:styleId="Footer">
    <w:name w:val="footer"/>
    <w:basedOn w:val="Normal"/>
    <w:link w:val="FooterChar"/>
    <w:uiPriority w:val="99"/>
    <w:rsid w:val="00CA4FF1"/>
    <w:pPr>
      <w:tabs>
        <w:tab w:val="center" w:pos="4513"/>
        <w:tab w:val="right" w:pos="9026"/>
      </w:tabs>
    </w:pPr>
  </w:style>
  <w:style w:type="character" w:customStyle="1" w:styleId="FooterChar">
    <w:name w:val="Footer Char"/>
    <w:basedOn w:val="DefaultParagraphFont"/>
    <w:link w:val="Footer"/>
    <w:uiPriority w:val="99"/>
    <w:rsid w:val="00CA4FF1"/>
    <w:rPr>
      <w:rFonts w:asciiTheme="minorHAnsi" w:hAnsiTheme="minorHAnsi"/>
      <w:szCs w:val="24"/>
      <w:lang w:eastAsia="en-US"/>
    </w:rPr>
  </w:style>
  <w:style w:type="paragraph" w:styleId="CommentSubject">
    <w:name w:val="annotation subject"/>
    <w:basedOn w:val="CommentText"/>
    <w:next w:val="CommentText"/>
    <w:link w:val="CommentSubjectChar"/>
    <w:rsid w:val="00CA4FF1"/>
    <w:rPr>
      <w:b/>
      <w:bCs/>
    </w:rPr>
  </w:style>
  <w:style w:type="character" w:customStyle="1" w:styleId="CommentSubjectChar">
    <w:name w:val="Comment Subject Char"/>
    <w:basedOn w:val="CommentTextChar"/>
    <w:link w:val="CommentSubject"/>
    <w:rsid w:val="00CA4FF1"/>
    <w:rPr>
      <w:rFonts w:asciiTheme="minorHAnsi" w:hAnsiTheme="minorHAnsi"/>
      <w:b/>
      <w:bCs/>
      <w:sz w:val="20"/>
      <w:lang w:eastAsia="en-US"/>
    </w:rPr>
  </w:style>
  <w:style w:type="table" w:styleId="TableGrid">
    <w:name w:val="Table Grid"/>
    <w:basedOn w:val="TableNormal"/>
    <w:rsid w:val="00CA4FF1"/>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4FF1"/>
    <w:rPr>
      <w:rFonts w:ascii="Times New Roman" w:hAnsi="Times New Roman"/>
      <w:szCs w:val="24"/>
      <w:lang w:eastAsia="en-US"/>
    </w:rPr>
  </w:style>
  <w:style w:type="paragraph" w:styleId="TOCHeading">
    <w:name w:val="TOC Heading"/>
    <w:basedOn w:val="Heading1"/>
    <w:next w:val="Normal"/>
    <w:uiPriority w:val="39"/>
    <w:semiHidden/>
    <w:unhideWhenUsed/>
    <w:qFormat/>
    <w:rsid w:val="00CA4FF1"/>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603D02"/>
    <w:pPr>
      <w:tabs>
        <w:tab w:val="right" w:leader="dot" w:pos="8296"/>
      </w:tabs>
      <w:spacing w:after="100"/>
    </w:pPr>
  </w:style>
  <w:style w:type="paragraph" w:styleId="TOC2">
    <w:name w:val="toc 2"/>
    <w:basedOn w:val="Normal"/>
    <w:next w:val="Normal"/>
    <w:autoRedefine/>
    <w:uiPriority w:val="39"/>
    <w:rsid w:val="00CA4FF1"/>
    <w:pPr>
      <w:tabs>
        <w:tab w:val="left" w:pos="880"/>
        <w:tab w:val="right" w:leader="dot" w:pos="8296"/>
      </w:tabs>
      <w:spacing w:after="100"/>
      <w:ind w:left="240"/>
    </w:pPr>
  </w:style>
  <w:style w:type="paragraph" w:styleId="TOC3">
    <w:name w:val="toc 3"/>
    <w:basedOn w:val="Normal"/>
    <w:next w:val="Normal"/>
    <w:autoRedefine/>
    <w:uiPriority w:val="39"/>
    <w:rsid w:val="00CA4FF1"/>
    <w:pPr>
      <w:spacing w:after="100"/>
      <w:ind w:left="480"/>
    </w:pPr>
  </w:style>
  <w:style w:type="character" w:styleId="Hyperlink">
    <w:name w:val="Hyperlink"/>
    <w:basedOn w:val="DefaultParagraphFont"/>
    <w:uiPriority w:val="99"/>
    <w:unhideWhenUsed/>
    <w:rsid w:val="00CA4FF1"/>
    <w:rPr>
      <w:color w:val="0000FF" w:themeColor="hyperlink"/>
      <w:u w:val="single"/>
    </w:rPr>
  </w:style>
  <w:style w:type="character" w:styleId="FollowedHyperlink">
    <w:name w:val="FollowedHyperlink"/>
    <w:basedOn w:val="DefaultParagraphFont"/>
    <w:rsid w:val="00CA4FF1"/>
    <w:rPr>
      <w:color w:val="800080" w:themeColor="followedHyperlink"/>
      <w:u w:val="single"/>
    </w:rPr>
  </w:style>
  <w:style w:type="paragraph" w:styleId="EndnoteText">
    <w:name w:val="endnote text"/>
    <w:basedOn w:val="Normal"/>
    <w:link w:val="EndnoteTextChar"/>
    <w:rsid w:val="00CA4FF1"/>
    <w:rPr>
      <w:sz w:val="20"/>
      <w:szCs w:val="20"/>
    </w:rPr>
  </w:style>
  <w:style w:type="character" w:customStyle="1" w:styleId="EndnoteTextChar">
    <w:name w:val="Endnote Text Char"/>
    <w:basedOn w:val="DefaultParagraphFont"/>
    <w:link w:val="EndnoteText"/>
    <w:rsid w:val="00CA4FF1"/>
    <w:rPr>
      <w:rFonts w:asciiTheme="minorHAnsi" w:hAnsiTheme="minorHAnsi"/>
      <w:sz w:val="20"/>
      <w:lang w:eastAsia="en-US"/>
    </w:rPr>
  </w:style>
  <w:style w:type="character" w:styleId="EndnoteReference">
    <w:name w:val="endnote reference"/>
    <w:basedOn w:val="DefaultParagraphFont"/>
    <w:rsid w:val="00CA4FF1"/>
    <w:rPr>
      <w:vertAlign w:val="superscript"/>
    </w:rPr>
  </w:style>
  <w:style w:type="character" w:customStyle="1" w:styleId="ListParagraphChar">
    <w:name w:val="List Paragraph Char"/>
    <w:aliases w:val="Bullet point Char,List Paragraph1 Char,List Paragraph11 Char,Recommendation Char,standard lewis Char,Bullet Point Char,Bulletr List Paragraph Char,Content descriptions Char,FooterText Char,L Char,List Bullet 1 Char,Listeafsnit1 Char"/>
    <w:basedOn w:val="DefaultParagraphFont"/>
    <w:link w:val="ListParagraph"/>
    <w:uiPriority w:val="34"/>
    <w:qFormat/>
    <w:locked/>
    <w:rsid w:val="00CA4FF1"/>
  </w:style>
  <w:style w:type="paragraph" w:styleId="NormalWeb">
    <w:name w:val="Normal (Web)"/>
    <w:basedOn w:val="Normal"/>
    <w:uiPriority w:val="99"/>
    <w:unhideWhenUsed/>
    <w:rsid w:val="00CA4FF1"/>
    <w:pPr>
      <w:spacing w:before="100" w:beforeAutospacing="1" w:after="100" w:afterAutospacing="1"/>
    </w:pPr>
    <w:rPr>
      <w:rFonts w:ascii="Times New Roman" w:eastAsiaTheme="minorEastAsia" w:hAnsi="Times New Roman"/>
      <w:lang w:eastAsia="en-AU"/>
    </w:rPr>
  </w:style>
  <w:style w:type="table" w:styleId="LightList-Accent1">
    <w:name w:val="Light List Accent 1"/>
    <w:basedOn w:val="TableNormal"/>
    <w:uiPriority w:val="61"/>
    <w:rsid w:val="00CA4F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CA4F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PlaceholderText">
    <w:name w:val="Placeholder Text"/>
    <w:basedOn w:val="DefaultParagraphFont"/>
    <w:uiPriority w:val="99"/>
    <w:semiHidden/>
    <w:rsid w:val="008309D3"/>
    <w:rPr>
      <w:color w:val="808080"/>
    </w:rPr>
  </w:style>
  <w:style w:type="paragraph" w:customStyle="1" w:styleId="Normal-nospacing">
    <w:name w:val="Normal - no spacing"/>
    <w:basedOn w:val="Normal"/>
    <w:qFormat/>
    <w:rsid w:val="002B5713"/>
    <w:pPr>
      <w:spacing w:before="120" w:after="120"/>
    </w:pPr>
    <w:rPr>
      <w:rFonts w:eastAsiaTheme="minorHAnsi" w:cstheme="minorHAnsi"/>
      <w:lang w:eastAsia="zh-CN" w:bidi="th-TH"/>
    </w:rPr>
  </w:style>
  <w:style w:type="paragraph" w:customStyle="1" w:styleId="Bullets">
    <w:name w:val="Bullets"/>
    <w:basedOn w:val="Normal"/>
    <w:link w:val="BulletsChar"/>
    <w:qFormat/>
    <w:rsid w:val="00FF5BCB"/>
    <w:pPr>
      <w:numPr>
        <w:numId w:val="2"/>
      </w:numPr>
      <w:spacing w:before="120" w:after="120"/>
      <w:ind w:left="357" w:hanging="357"/>
    </w:pPr>
    <w:rPr>
      <w:lang w:eastAsia="en-AU"/>
    </w:rPr>
  </w:style>
  <w:style w:type="character" w:customStyle="1" w:styleId="BulletsChar">
    <w:name w:val="Bullets Char"/>
    <w:basedOn w:val="DefaultParagraphFont"/>
    <w:link w:val="Bullets"/>
    <w:rsid w:val="00FF5BCB"/>
    <w:rPr>
      <w:rFonts w:asciiTheme="minorHAnsi" w:hAnsiTheme="minorHAnsi"/>
      <w:szCs w:val="24"/>
    </w:rPr>
  </w:style>
  <w:style w:type="paragraph" w:styleId="Caption">
    <w:name w:val="caption"/>
    <w:basedOn w:val="Normal"/>
    <w:next w:val="Normal"/>
    <w:unhideWhenUsed/>
    <w:qFormat/>
    <w:rsid w:val="00FF5BCB"/>
    <w:pPr>
      <w:spacing w:after="200"/>
    </w:pPr>
    <w:rPr>
      <w:b/>
      <w:bCs/>
      <w:color w:val="4F81BD" w:themeColor="accent1"/>
      <w:sz w:val="18"/>
      <w:szCs w:val="18"/>
    </w:rPr>
  </w:style>
  <w:style w:type="character" w:customStyle="1" w:styleId="Heading2Char">
    <w:name w:val="Heading 2 Char"/>
    <w:basedOn w:val="DefaultParagraphFont"/>
    <w:link w:val="Heading2"/>
    <w:rsid w:val="00644A5B"/>
    <w:rPr>
      <w:rFonts w:ascii="Arial" w:hAnsi="Arial" w:cs="Arial"/>
      <w:b/>
      <w:bCs/>
      <w:i/>
      <w:iCs/>
      <w:szCs w:val="28"/>
      <w:lang w:eastAsia="en-US"/>
    </w:rPr>
  </w:style>
  <w:style w:type="character" w:customStyle="1" w:styleId="Heading3Char">
    <w:name w:val="Heading 3 Char"/>
    <w:basedOn w:val="DefaultParagraphFont"/>
    <w:link w:val="Heading3"/>
    <w:rsid w:val="00644A5B"/>
    <w:rPr>
      <w:rFonts w:ascii="Arial" w:hAnsi="Arial" w:cs="Arial"/>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7931">
      <w:bodyDiv w:val="1"/>
      <w:marLeft w:val="0"/>
      <w:marRight w:val="0"/>
      <w:marTop w:val="0"/>
      <w:marBottom w:val="0"/>
      <w:divBdr>
        <w:top w:val="none" w:sz="0" w:space="0" w:color="auto"/>
        <w:left w:val="none" w:sz="0" w:space="0" w:color="auto"/>
        <w:bottom w:val="none" w:sz="0" w:space="0" w:color="auto"/>
        <w:right w:val="none" w:sz="0" w:space="0" w:color="auto"/>
      </w:divBdr>
    </w:div>
    <w:div w:id="159470460">
      <w:bodyDiv w:val="1"/>
      <w:marLeft w:val="0"/>
      <w:marRight w:val="0"/>
      <w:marTop w:val="0"/>
      <w:marBottom w:val="0"/>
      <w:divBdr>
        <w:top w:val="none" w:sz="0" w:space="0" w:color="auto"/>
        <w:left w:val="none" w:sz="0" w:space="0" w:color="auto"/>
        <w:bottom w:val="none" w:sz="0" w:space="0" w:color="auto"/>
        <w:right w:val="none" w:sz="0" w:space="0" w:color="auto"/>
      </w:divBdr>
    </w:div>
    <w:div w:id="287321568">
      <w:bodyDiv w:val="1"/>
      <w:marLeft w:val="0"/>
      <w:marRight w:val="0"/>
      <w:marTop w:val="0"/>
      <w:marBottom w:val="0"/>
      <w:divBdr>
        <w:top w:val="none" w:sz="0" w:space="0" w:color="auto"/>
        <w:left w:val="none" w:sz="0" w:space="0" w:color="auto"/>
        <w:bottom w:val="none" w:sz="0" w:space="0" w:color="auto"/>
        <w:right w:val="none" w:sz="0" w:space="0" w:color="auto"/>
      </w:divBdr>
    </w:div>
    <w:div w:id="655911640">
      <w:bodyDiv w:val="1"/>
      <w:marLeft w:val="0"/>
      <w:marRight w:val="0"/>
      <w:marTop w:val="0"/>
      <w:marBottom w:val="0"/>
      <w:divBdr>
        <w:top w:val="none" w:sz="0" w:space="0" w:color="auto"/>
        <w:left w:val="none" w:sz="0" w:space="0" w:color="auto"/>
        <w:bottom w:val="none" w:sz="0" w:space="0" w:color="auto"/>
        <w:right w:val="none" w:sz="0" w:space="0" w:color="auto"/>
      </w:divBdr>
    </w:div>
    <w:div w:id="1500995620">
      <w:bodyDiv w:val="1"/>
      <w:marLeft w:val="0"/>
      <w:marRight w:val="0"/>
      <w:marTop w:val="0"/>
      <w:marBottom w:val="0"/>
      <w:divBdr>
        <w:top w:val="none" w:sz="0" w:space="0" w:color="auto"/>
        <w:left w:val="none" w:sz="0" w:space="0" w:color="auto"/>
        <w:bottom w:val="none" w:sz="0" w:space="0" w:color="auto"/>
        <w:right w:val="none" w:sz="0" w:space="0" w:color="auto"/>
      </w:divBdr>
    </w:div>
    <w:div w:id="1678115974">
      <w:bodyDiv w:val="1"/>
      <w:marLeft w:val="0"/>
      <w:marRight w:val="0"/>
      <w:marTop w:val="0"/>
      <w:marBottom w:val="0"/>
      <w:divBdr>
        <w:top w:val="none" w:sz="0" w:space="0" w:color="auto"/>
        <w:left w:val="none" w:sz="0" w:space="0" w:color="auto"/>
        <w:bottom w:val="none" w:sz="0" w:space="0" w:color="auto"/>
        <w:right w:val="none" w:sz="0" w:space="0" w:color="auto"/>
      </w:divBdr>
    </w:div>
    <w:div w:id="20062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gedcare.health.gov.au/reform/resource-utilisation-and-classification-study"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edcare.health.gov.au/reform/residential-aged-care-refor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1.png@01D4D36A.4FB409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harepoint.central.health/divisions/RFACD/teams/acfi/Shared%20Documents/BRIEFING%20PAPERS%202019%20LIVE/department's%20website"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consultations.health.gov.au/"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3FFD-DF09-4724-97FC-1514B37A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7849</Words>
  <Characters>44481</Characters>
  <Application>Microsoft Office Word</Application>
  <DocSecurity>0</DocSecurity>
  <Lines>1170</Lines>
  <Paragraphs>556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2019-03-13T21:49:00Z</dcterms:created>
  <dcterms:modified xsi:type="dcterms:W3CDTF">2019-03-13T21:52:00Z</dcterms:modified>
</cp:coreProperties>
</file>