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E5B" w:rsidP="004B7E5B" w:rsidRDefault="004B7E5B" w14:paraId="3A192765" w14:textId="6F4C7D8C">
      <w:pPr>
        <w:pStyle w:val="Title"/>
      </w:pPr>
      <w:bookmarkStart w:name="_Hlk85795649" w:id="0"/>
      <w:r w:rsidRPr="004B7E5B">
        <w:t>Inspector-General of Aged Care</w:t>
      </w:r>
    </w:p>
    <w:p w:rsidR="004B7E5B" w:rsidP="004B7E5B" w:rsidRDefault="004B7E5B" w14:paraId="7209335E" w14:textId="6807F3F1">
      <w:pPr>
        <w:pStyle w:val="Heading2"/>
      </w:pPr>
      <w:r w:rsidRPr="004B7E5B">
        <w:t>Consultation on an exposure draft of the Inspector-General of Aged Care Bill</w:t>
      </w:r>
    </w:p>
    <w:p w:rsidRPr="004B7E5B" w:rsidR="004B7E5B" w:rsidP="004B7E5B" w:rsidRDefault="004B7E5B" w14:paraId="14264BA8" w14:textId="2336940A">
      <w:pPr>
        <w:rPr>
          <w:b/>
          <w:bCs/>
        </w:rPr>
      </w:pPr>
      <w:r w:rsidRPr="004B7E5B">
        <w:rPr>
          <w:b/>
          <w:bCs/>
        </w:rPr>
        <w:t>December 2022</w:t>
      </w:r>
    </w:p>
    <w:p w:rsidRPr="004B7E5B" w:rsidR="004B7E5B" w:rsidP="004B7E5B" w:rsidRDefault="004B7E5B" w14:paraId="660489A5" w14:textId="77777777">
      <w:r w:rsidRPr="004B7E5B">
        <w:t xml:space="preserve">The Australian Government is seeking feedback on a draft Inspector-General of Aged Care Bill (the Bill) to establish a new independent statutory office - the Inspector-General of Aged Care (Inspector-General) – to provide oversight of, and to drive improvements in the aged care system. </w:t>
      </w:r>
    </w:p>
    <w:p w:rsidRPr="004B7E5B" w:rsidR="004B7E5B" w:rsidP="004B7E5B" w:rsidRDefault="004B7E5B" w14:paraId="57215961" w14:textId="77777777">
      <w:pPr>
        <w:pStyle w:val="Heading3"/>
      </w:pPr>
      <w:r w:rsidRPr="004B7E5B">
        <w:t xml:space="preserve">Why an Inspector General of Aged Care? </w:t>
      </w:r>
    </w:p>
    <w:p w:rsidRPr="004B7E5B" w:rsidR="004B7E5B" w:rsidP="004B7E5B" w:rsidRDefault="004B7E5B" w14:paraId="356EC14B" w14:textId="77777777">
      <w:r w:rsidRPr="004B7E5B">
        <w:t xml:space="preserve">The Royal Commission into Aged Care Quality and Safety (Royal Commission) recommended the establishment of an Inspector-General to improve transparency and accountability across the aged care system and address longstanding sector-wide problems, or ‘systemic issues’, in aged care. Issues, according to the Royal Commission, that include inadequate funding, variable provider behaviour, a lack of system leadership, and poor access to health care amongst people receiving aged care. </w:t>
      </w:r>
    </w:p>
    <w:p w:rsidR="004B7E5B" w:rsidP="004B7E5B" w:rsidRDefault="004B7E5B" w14:paraId="74FA3907" w14:textId="77777777">
      <w:pPr>
        <w:pStyle w:val="Heading3"/>
      </w:pPr>
      <w:r w:rsidRPr="00B94D7D">
        <w:t>Wh</w:t>
      </w:r>
      <w:r>
        <w:t>at is in the Bill?</w:t>
      </w:r>
      <w:r w:rsidRPr="00B94D7D">
        <w:t xml:space="preserve"> </w:t>
      </w:r>
    </w:p>
    <w:p w:rsidRPr="004B7E5B" w:rsidR="004B7E5B" w:rsidP="004B7E5B" w:rsidRDefault="004B7E5B" w14:paraId="3E6AB921" w14:textId="77777777">
      <w:r w:rsidRPr="004B7E5B">
        <w:t xml:space="preserve">The Bill will establish the new role of the Inspector-General and its supporting </w:t>
      </w:r>
      <w:proofErr w:type="gramStart"/>
      <w:r w:rsidRPr="004B7E5B">
        <w:t>Office, and</w:t>
      </w:r>
      <w:proofErr w:type="gramEnd"/>
      <w:r w:rsidRPr="004B7E5B">
        <w:t xml:space="preserve"> give the Inspector-General the authority and tools they will need to be effective. The Bill has several sections:</w:t>
      </w:r>
    </w:p>
    <w:p w:rsidRPr="004B7E5B" w:rsidR="004B7E5B" w:rsidP="004B7E5B" w:rsidRDefault="004B7E5B" w14:paraId="1F4CFCEF" w14:textId="77777777">
      <w:pPr>
        <w:pStyle w:val="ListParagraph"/>
        <w:numPr>
          <w:ilvl w:val="0"/>
          <w:numId w:val="30"/>
        </w:numPr>
        <w:spacing w:before="240" w:line="240" w:lineRule="auto"/>
        <w:ind w:right="249"/>
        <w:rPr>
          <w:rFonts w:cs="Arial"/>
          <w:szCs w:val="22"/>
          <w:lang w:eastAsia="en-AU"/>
        </w:rPr>
      </w:pPr>
      <w:r w:rsidRPr="004B7E5B">
        <w:rPr>
          <w:rFonts w:cs="Arial"/>
          <w:color w:val="3F4A75" w:themeColor="accent1"/>
          <w:szCs w:val="22"/>
          <w:lang w:val="en-GB"/>
        </w:rPr>
        <w:t xml:space="preserve">Objects and functions: </w:t>
      </w:r>
      <w:r w:rsidRPr="004B7E5B">
        <w:rPr>
          <w:rFonts w:cs="Arial"/>
          <w:szCs w:val="22"/>
          <w:lang w:val="en-GB"/>
        </w:rPr>
        <w:t xml:space="preserve">This </w:t>
      </w:r>
      <w:proofErr w:type="gramStart"/>
      <w:r w:rsidRPr="004B7E5B">
        <w:rPr>
          <w:rFonts w:cs="Arial"/>
          <w:szCs w:val="22"/>
          <w:lang w:val="en-GB"/>
        </w:rPr>
        <w:t>describes</w:t>
      </w:r>
      <w:proofErr w:type="gramEnd"/>
      <w:r w:rsidRPr="004B7E5B">
        <w:rPr>
          <w:rFonts w:cs="Arial"/>
          <w:szCs w:val="22"/>
          <w:lang w:eastAsia="en-AU"/>
        </w:rPr>
        <w:t xml:space="preserve"> the Inspector-General’s role and the </w:t>
      </w:r>
      <w:r w:rsidRPr="004B7E5B">
        <w:rPr>
          <w:rFonts w:cs="Arial"/>
          <w:color w:val="000000"/>
          <w:szCs w:val="22"/>
          <w:lang w:val="en-US" w:eastAsia="en-AU"/>
        </w:rPr>
        <w:t>objectives of the Bill. It also identifies the Inspector-General’s key functions, which will be to:</w:t>
      </w:r>
      <w:r w:rsidRPr="004B7E5B">
        <w:rPr>
          <w:rFonts w:cs="Arial"/>
          <w:color w:val="000000"/>
          <w:szCs w:val="22"/>
          <w:lang w:eastAsia="en-AU"/>
        </w:rPr>
        <w:t> </w:t>
      </w:r>
    </w:p>
    <w:p w:rsidRPr="004B7E5B" w:rsidR="004B7E5B" w:rsidP="004B7E5B" w:rsidRDefault="004B7E5B" w14:paraId="67901D69" w14:textId="77777777">
      <w:pPr>
        <w:pStyle w:val="ListBullet"/>
      </w:pPr>
      <w:r w:rsidRPr="004B7E5B">
        <w:t xml:space="preserve">provide independent oversight of the aged care system </w:t>
      </w:r>
    </w:p>
    <w:p w:rsidRPr="004B7E5B" w:rsidR="004B7E5B" w:rsidP="004B7E5B" w:rsidRDefault="004B7E5B" w14:paraId="1EC53504" w14:textId="77777777">
      <w:pPr>
        <w:pStyle w:val="ListBullet"/>
      </w:pPr>
      <w:r w:rsidRPr="004B7E5B">
        <w:t xml:space="preserve">review systemic issues and recommend improvements </w:t>
      </w:r>
    </w:p>
    <w:p w:rsidRPr="004B7E5B" w:rsidR="004B7E5B" w:rsidP="004B7E5B" w:rsidRDefault="004B7E5B" w14:paraId="0E8F9533" w14:textId="77777777">
      <w:pPr>
        <w:pStyle w:val="ListBullet"/>
      </w:pPr>
      <w:r w:rsidRPr="004B7E5B">
        <w:t>examine the performance of government/government-funded agencies in the sector</w:t>
      </w:r>
    </w:p>
    <w:p w:rsidRPr="004B7E5B" w:rsidR="004B7E5B" w:rsidP="004B7E5B" w:rsidRDefault="004B7E5B" w14:paraId="355B8897" w14:textId="77777777">
      <w:pPr>
        <w:pStyle w:val="ListBullet"/>
      </w:pPr>
      <w:r w:rsidRPr="004B7E5B">
        <w:t>provide oversight of the complaints management framework (but not handle or investigate complaints directly) </w:t>
      </w:r>
    </w:p>
    <w:p w:rsidRPr="004B7E5B" w:rsidR="004B7E5B" w:rsidP="004B7E5B" w:rsidRDefault="004B7E5B" w14:paraId="1393D223" w14:textId="77777777">
      <w:pPr>
        <w:pStyle w:val="ListBullet"/>
      </w:pPr>
      <w:r w:rsidRPr="004B7E5B">
        <w:t>publicly report on systemic issues, on how well the system meets the objectives of the aged care legislation, and on progress implementing aged care reforms.</w:t>
      </w:r>
    </w:p>
    <w:p w:rsidRPr="004B7E5B" w:rsidR="004B7E5B" w:rsidP="004B7E5B" w:rsidRDefault="004B7E5B" w14:paraId="28F154EB" w14:textId="77777777">
      <w:pPr>
        <w:pStyle w:val="ListParagraph"/>
        <w:numPr>
          <w:ilvl w:val="0"/>
          <w:numId w:val="30"/>
        </w:numPr>
        <w:spacing w:before="240" w:line="240" w:lineRule="auto"/>
        <w:ind w:right="249"/>
        <w:rPr>
          <w:rFonts w:cs="Arial"/>
          <w:color w:val="3F4A75" w:themeColor="accent1"/>
          <w:szCs w:val="22"/>
          <w:lang w:val="en-GB"/>
        </w:rPr>
      </w:pPr>
      <w:r w:rsidRPr="004B7E5B">
        <w:rPr>
          <w:rFonts w:cs="Arial"/>
          <w:color w:val="3F4A75" w:themeColor="accent1"/>
          <w:szCs w:val="22"/>
          <w:lang w:val="en-GB"/>
        </w:rPr>
        <w:t xml:space="preserve">Systemic oversight: </w:t>
      </w:r>
      <w:r w:rsidRPr="004B7E5B">
        <w:rPr>
          <w:rFonts w:cs="Arial"/>
          <w:color w:val="auto"/>
          <w:szCs w:val="22"/>
          <w:lang w:val="en-GB"/>
        </w:rPr>
        <w:t xml:space="preserve">This section provides the framework for the Inspector-General’s oversight role, which has 3 elements: reviews, </w:t>
      </w:r>
      <w:proofErr w:type="gramStart"/>
      <w:r w:rsidRPr="004B7E5B">
        <w:rPr>
          <w:rFonts w:cs="Arial"/>
          <w:color w:val="auto"/>
          <w:szCs w:val="22"/>
          <w:lang w:val="en-GB"/>
        </w:rPr>
        <w:t>reports</w:t>
      </w:r>
      <w:proofErr w:type="gramEnd"/>
      <w:r w:rsidRPr="004B7E5B">
        <w:rPr>
          <w:rFonts w:cs="Arial"/>
          <w:color w:val="auto"/>
          <w:szCs w:val="22"/>
          <w:lang w:val="en-GB"/>
        </w:rPr>
        <w:t xml:space="preserve"> and monitoring. </w:t>
      </w:r>
    </w:p>
    <w:p w:rsidRPr="004B7E5B" w:rsidR="004B7E5B" w:rsidP="004B7E5B" w:rsidRDefault="004B7E5B" w14:paraId="4D538ACB" w14:textId="60367FE6">
      <w:r w:rsidRPr="00DE1446">
        <w:rPr>
          <w:b/>
          <w:bCs/>
        </w:rPr>
        <w:t>Reviews</w:t>
      </w:r>
      <w:r w:rsidRPr="004B7E5B">
        <w:t xml:space="preserve"> will be in-depth investigations of systemic issues or topics which affect the Australian Government’s funding, regulation, administration, or delivery of aged care. The Bill establishes a </w:t>
      </w:r>
      <w:r w:rsidRPr="004B7E5B" w:rsidR="00DE1446">
        <w:t>three-phase</w:t>
      </w:r>
      <w:r w:rsidRPr="004B7E5B">
        <w:t xml:space="preserve"> process for conducting reviews, which aims to make the process clear and fair. An annual workplan will be published to identify review topics. </w:t>
      </w:r>
    </w:p>
    <w:p w:rsidRPr="004B7E5B" w:rsidR="004B7E5B" w:rsidP="004B7E5B" w:rsidRDefault="004B7E5B" w14:paraId="19007C45" w14:textId="77777777">
      <w:r w:rsidRPr="00DE1446">
        <w:rPr>
          <w:b/>
          <w:bCs/>
        </w:rPr>
        <w:lastRenderedPageBreak/>
        <w:t xml:space="preserve">Reports </w:t>
      </w:r>
      <w:r w:rsidRPr="004B7E5B">
        <w:t>will be split into 4 key categories:</w:t>
      </w:r>
    </w:p>
    <w:p w:rsidRPr="004B7E5B" w:rsidR="004B7E5B" w:rsidP="004B7E5B" w:rsidRDefault="00DE1446" w14:paraId="42AC1378" w14:textId="0C93ADB0">
      <w:pPr>
        <w:pStyle w:val="ListBullet"/>
      </w:pPr>
      <w:r>
        <w:t>R</w:t>
      </w:r>
      <w:r w:rsidRPr="004B7E5B" w:rsidR="004B7E5B">
        <w:t xml:space="preserve">eview reports: with findings and recommendations </w:t>
      </w:r>
    </w:p>
    <w:p w:rsidRPr="004B7E5B" w:rsidR="004B7E5B" w:rsidP="004B7E5B" w:rsidRDefault="004B7E5B" w14:paraId="5E73C978" w14:textId="76262037">
      <w:pPr>
        <w:pStyle w:val="ListBullet"/>
      </w:pPr>
      <w:r w:rsidRPr="004B7E5B">
        <w:t xml:space="preserve">Royal Commission reports: examining progress with reforms in response to the Aged Care Royal Commission, including a </w:t>
      </w:r>
      <w:r w:rsidRPr="004B7E5B" w:rsidR="003B7A21">
        <w:t>5- and 10-year</w:t>
      </w:r>
      <w:r w:rsidRPr="004B7E5B">
        <w:t xml:space="preserve"> evaluation</w:t>
      </w:r>
    </w:p>
    <w:p w:rsidRPr="004B7E5B" w:rsidR="004B7E5B" w:rsidP="004B7E5B" w:rsidRDefault="00DE1446" w14:paraId="1B04E97F" w14:textId="41E5CC7C">
      <w:pPr>
        <w:pStyle w:val="ListBullet"/>
      </w:pPr>
      <w:r>
        <w:t>A</w:t>
      </w:r>
      <w:r w:rsidRPr="004B7E5B" w:rsidR="004B7E5B">
        <w:t>d hoc reports on the aged care system: covering key areas of interest, such as the performance of Commonwealth agencies and other entities with a role in the aged care system</w:t>
      </w:r>
    </w:p>
    <w:p w:rsidRPr="004B7E5B" w:rsidR="004B7E5B" w:rsidP="004B7E5B" w:rsidRDefault="00DE1446" w14:paraId="267E6C01" w14:textId="3AEB21A2">
      <w:pPr>
        <w:pStyle w:val="ListBullet"/>
      </w:pPr>
      <w:r>
        <w:t>C</w:t>
      </w:r>
      <w:r w:rsidRPr="004B7E5B" w:rsidR="004B7E5B">
        <w:t>orporate reports: such as an Annual Report and Corporate Plan.</w:t>
      </w:r>
    </w:p>
    <w:p w:rsidRPr="004B7E5B" w:rsidR="004B7E5B" w:rsidP="004B7E5B" w:rsidRDefault="004B7E5B" w14:paraId="7C543085" w14:textId="55D3ADE8">
      <w:r w:rsidR="004B7E5B">
        <w:rPr/>
        <w:t xml:space="preserve">The Bill does not prescribe </w:t>
      </w:r>
      <w:r w:rsidR="500A6A11">
        <w:rPr/>
        <w:t>all reporting requirements</w:t>
      </w:r>
      <w:r w:rsidR="004B7E5B">
        <w:rPr/>
        <w:t>, but the general powers and information gathering provisions in the Bill will support the reporting function.</w:t>
      </w:r>
    </w:p>
    <w:p w:rsidRPr="004B7E5B" w:rsidR="004B7E5B" w:rsidP="004B7E5B" w:rsidRDefault="004B7E5B" w14:paraId="44D6657D" w14:textId="77777777">
      <w:r w:rsidRPr="00DE1446">
        <w:rPr>
          <w:b/>
          <w:bCs/>
        </w:rPr>
        <w:t>Monitoring</w:t>
      </w:r>
      <w:r w:rsidRPr="000A7321">
        <w:t xml:space="preserve"> </w:t>
      </w:r>
      <w:r w:rsidRPr="004B7E5B">
        <w:t xml:space="preserve">involves investigating the state of the aged care system using data, </w:t>
      </w:r>
      <w:proofErr w:type="gramStart"/>
      <w:r w:rsidRPr="004B7E5B">
        <w:t>intelligence</w:t>
      </w:r>
      <w:proofErr w:type="gramEnd"/>
      <w:r w:rsidRPr="004B7E5B">
        <w:t xml:space="preserve"> and evidence. The Bill does not prescribe the approach to monitoring, but the general powers and information gathering provisions in the Bill will support the monitoring function.</w:t>
      </w:r>
    </w:p>
    <w:p w:rsidRPr="004B7E5B" w:rsidR="004B7E5B" w:rsidP="004B7E5B" w:rsidRDefault="004B7E5B" w14:paraId="700039F5" w14:textId="69762914">
      <w:pPr>
        <w:pStyle w:val="ListParagraph"/>
        <w:numPr>
          <w:ilvl w:val="0"/>
          <w:numId w:val="33"/>
        </w:numPr>
        <w:spacing w:before="240" w:after="160" w:line="259" w:lineRule="auto"/>
        <w:rPr>
          <w:rFonts w:cs="Arial"/>
          <w:color w:val="3F4A75" w:themeColor="accent1"/>
          <w:szCs w:val="22"/>
          <w:lang w:val="en-GB"/>
        </w:rPr>
      </w:pPr>
      <w:r w:rsidRPr="004B7E5B">
        <w:rPr>
          <w:rFonts w:cs="Arial"/>
          <w:color w:val="3F4A75" w:themeColor="accent1"/>
          <w:szCs w:val="22"/>
          <w:lang w:val="en-GB"/>
        </w:rPr>
        <w:t xml:space="preserve">Information gathering powers: </w:t>
      </w:r>
      <w:r w:rsidRPr="004B7E5B">
        <w:rPr>
          <w:rFonts w:cs="Arial"/>
          <w:szCs w:val="22"/>
          <w:lang w:val="en-GB"/>
        </w:rPr>
        <w:t xml:space="preserve">Having </w:t>
      </w:r>
      <w:r w:rsidRPr="004B7E5B">
        <w:rPr>
          <w:rFonts w:cs="Arial"/>
          <w:szCs w:val="22"/>
          <w:lang w:eastAsia="en-AU"/>
        </w:rPr>
        <w:t>access to information will be critical for the Inspector-General. It is likely that most information will be provided on request, however, there may be times when it has not or cannot be provided voluntarily. </w:t>
      </w:r>
      <w:r w:rsidR="00DE1446">
        <w:rPr>
          <w:rFonts w:cs="Arial"/>
          <w:szCs w:val="22"/>
          <w:lang w:eastAsia="en-AU"/>
        </w:rPr>
        <w:br/>
      </w:r>
    </w:p>
    <w:p w:rsidRPr="004B7E5B" w:rsidR="004B7E5B" w:rsidP="004B7E5B" w:rsidRDefault="004B7E5B" w14:paraId="53BC6C21" w14:textId="1428C143">
      <w:pPr>
        <w:pStyle w:val="ListParagraph"/>
        <w:numPr>
          <w:ilvl w:val="0"/>
          <w:numId w:val="33"/>
        </w:numPr>
        <w:textAlignment w:val="baseline"/>
        <w:rPr>
          <w:rFonts w:cs="Arial"/>
          <w:szCs w:val="22"/>
          <w:lang w:eastAsia="en-AU"/>
        </w:rPr>
      </w:pPr>
      <w:r w:rsidRPr="004B7E5B">
        <w:rPr>
          <w:rFonts w:cs="Arial"/>
          <w:szCs w:val="22"/>
          <w:lang w:eastAsia="en-AU"/>
        </w:rPr>
        <w:t>As recommended by the Royal Commission, the Bill gives the Inspector-General information gathering powers. In certain circumstances, the Inspector-General will be able to require a person to answer questions and to provide information and/or documents. Additionally, the Inspector-General may access buildings in certain situations to carry out its functions.</w:t>
      </w:r>
      <w:r>
        <w:rPr>
          <w:rFonts w:cs="Arial"/>
          <w:szCs w:val="22"/>
          <w:lang w:eastAsia="en-AU"/>
        </w:rPr>
        <w:br/>
      </w:r>
    </w:p>
    <w:p w:rsidRPr="004B7E5B" w:rsidR="004B7E5B" w:rsidP="004B7E5B" w:rsidRDefault="004B7E5B" w14:paraId="7E8D1F34" w14:textId="77777777">
      <w:pPr>
        <w:pStyle w:val="ListParagraph"/>
        <w:numPr>
          <w:ilvl w:val="0"/>
          <w:numId w:val="33"/>
        </w:numPr>
        <w:spacing w:before="0" w:line="259" w:lineRule="auto"/>
        <w:textAlignment w:val="baseline"/>
        <w:rPr>
          <w:rFonts w:cs="Arial"/>
          <w:szCs w:val="22"/>
          <w:lang w:eastAsia="en-AU"/>
        </w:rPr>
      </w:pPr>
      <w:r w:rsidRPr="004B7E5B">
        <w:rPr>
          <w:rFonts w:cs="Arial"/>
          <w:color w:val="3F4A75" w:themeColor="accent1"/>
          <w:szCs w:val="22"/>
          <w:lang w:val="en-GB"/>
        </w:rPr>
        <w:t>Protections for the Inspector-General and others: </w:t>
      </w:r>
      <w:r w:rsidRPr="004B7E5B">
        <w:rPr>
          <w:rFonts w:cs="Arial"/>
          <w:szCs w:val="22"/>
          <w:lang w:val="en-GB"/>
        </w:rPr>
        <w:t xml:space="preserve">The Bill allows </w:t>
      </w:r>
      <w:r w:rsidRPr="004B7E5B">
        <w:rPr>
          <w:rFonts w:cs="Arial"/>
          <w:szCs w:val="22"/>
          <w:lang w:eastAsia="en-AU"/>
        </w:rPr>
        <w:t xml:space="preserve">the Inspector-General to offer a range of protections to people who provide information or assistance. As an example, these protections mean that a person who assists the Inspector-General will not be able to be criminally charged, </w:t>
      </w:r>
      <w:proofErr w:type="gramStart"/>
      <w:r w:rsidRPr="004B7E5B">
        <w:rPr>
          <w:rFonts w:cs="Arial"/>
          <w:szCs w:val="22"/>
          <w:lang w:eastAsia="en-AU"/>
        </w:rPr>
        <w:t>sued</w:t>
      </w:r>
      <w:proofErr w:type="gramEnd"/>
      <w:r w:rsidRPr="004B7E5B">
        <w:rPr>
          <w:rFonts w:cs="Arial"/>
          <w:szCs w:val="22"/>
          <w:lang w:eastAsia="en-AU"/>
        </w:rPr>
        <w:t xml:space="preserve"> or disciplined if compelled to give information. Protections are needed because the Inspector-General does not want people who share information to be penalised, or to be afraid that they could be.</w:t>
      </w:r>
      <w:r w:rsidRPr="004B7E5B">
        <w:rPr>
          <w:rFonts w:cs="Arial"/>
          <w:szCs w:val="22"/>
          <w:lang w:eastAsia="en-AU"/>
        </w:rPr>
        <w:br/>
      </w:r>
    </w:p>
    <w:p w:rsidRPr="004B7E5B" w:rsidR="004B7E5B" w:rsidP="004B7E5B" w:rsidRDefault="004B7E5B" w14:paraId="06F2F957" w14:textId="77777777">
      <w:pPr>
        <w:pStyle w:val="ListParagraph"/>
        <w:numPr>
          <w:ilvl w:val="0"/>
          <w:numId w:val="33"/>
        </w:numPr>
        <w:spacing w:line="259" w:lineRule="auto"/>
        <w:textAlignment w:val="baseline"/>
        <w:rPr>
          <w:rFonts w:cs="Arial"/>
          <w:szCs w:val="22"/>
          <w:lang w:eastAsia="en-AU"/>
        </w:rPr>
      </w:pPr>
      <w:r w:rsidRPr="004B7E5B">
        <w:rPr>
          <w:rFonts w:cs="Arial"/>
          <w:color w:val="3F4A75" w:themeColor="accent1"/>
          <w:szCs w:val="22"/>
          <w:lang w:val="en-GB"/>
        </w:rPr>
        <w:t>Criminal offences and civil penalties:</w:t>
      </w:r>
      <w:r w:rsidRPr="004B7E5B">
        <w:rPr>
          <w:rFonts w:cs="Arial"/>
          <w:szCs w:val="22"/>
          <w:lang w:eastAsia="en-AU"/>
        </w:rPr>
        <w:t xml:space="preserve"> The Bill </w:t>
      </w:r>
      <w:proofErr w:type="gramStart"/>
      <w:r w:rsidRPr="004B7E5B">
        <w:rPr>
          <w:rFonts w:cs="Arial"/>
          <w:szCs w:val="22"/>
          <w:lang w:eastAsia="en-AU"/>
        </w:rPr>
        <w:t>includes</w:t>
      </w:r>
      <w:proofErr w:type="gramEnd"/>
      <w:r w:rsidRPr="004B7E5B">
        <w:rPr>
          <w:rFonts w:cs="Arial"/>
          <w:szCs w:val="22"/>
          <w:lang w:eastAsia="en-AU"/>
        </w:rPr>
        <w:t xml:space="preserve"> a series of offences and penalties, such as refusing to assist the Inspector-General, breaching confidentiality or victimising those who provide assistance. Wherever possible, the offence and penalty provisions in the Bill are consistent with other aged care legislation.</w:t>
      </w:r>
      <w:r w:rsidRPr="004B7E5B">
        <w:rPr>
          <w:rFonts w:cs="Arial"/>
          <w:szCs w:val="22"/>
          <w:lang w:eastAsia="en-AU"/>
        </w:rPr>
        <w:br/>
      </w:r>
    </w:p>
    <w:p w:rsidR="004B7E5B" w:rsidP="004B7E5B" w:rsidRDefault="004B7E5B" w14:paraId="3254445D" w14:textId="0C3EFC81">
      <w:pPr>
        <w:pStyle w:val="ListParagraph"/>
        <w:numPr>
          <w:ilvl w:val="0"/>
          <w:numId w:val="33"/>
        </w:numPr>
        <w:spacing w:before="240" w:line="259" w:lineRule="auto"/>
        <w:rPr>
          <w:rFonts w:cs="Arial"/>
          <w:szCs w:val="22"/>
          <w:lang w:eastAsia="en-AU"/>
        </w:rPr>
      </w:pPr>
      <w:r w:rsidRPr="004B7E5B">
        <w:rPr>
          <w:rFonts w:cs="Arial"/>
          <w:color w:val="3F4A75" w:themeColor="accent1"/>
          <w:szCs w:val="22"/>
          <w:lang w:val="en-GB"/>
        </w:rPr>
        <w:t>Administrative provisions: </w:t>
      </w:r>
      <w:r w:rsidRPr="004B7E5B">
        <w:rPr>
          <w:rFonts w:cs="Arial"/>
          <w:szCs w:val="22"/>
          <w:lang w:eastAsia="en-AU"/>
        </w:rPr>
        <w:t xml:space="preserve">The Bill also includes a range of administrative provisions to support the appointment of the Inspector-General, their employment conditions and delegations. The Bill establishes the Inspector-General as a statutory office holder, appointed by the Governor-General of Australia for up to 5 years and eligible for reappointment for 2 full terms. It uses standardised provisions covering remuneration, leave, acting arrangements and termination. </w:t>
      </w:r>
    </w:p>
    <w:p w:rsidRPr="004B7E5B" w:rsidR="004B7E5B" w:rsidP="004B7E5B" w:rsidRDefault="004B7E5B" w14:paraId="67698607" w14:textId="77777777">
      <w:pPr>
        <w:spacing w:before="240" w:line="259" w:lineRule="auto"/>
        <w:rPr>
          <w:rFonts w:cs="Arial"/>
          <w:szCs w:val="22"/>
          <w:lang w:eastAsia="en-AU"/>
        </w:rPr>
      </w:pPr>
    </w:p>
    <w:p w:rsidRPr="004B7E5B" w:rsidR="004B7E5B" w:rsidP="004B7E5B" w:rsidRDefault="004B7E5B" w14:paraId="65CF81BE" w14:textId="77777777">
      <w:pPr>
        <w:pStyle w:val="Heading3"/>
      </w:pPr>
      <w:r w:rsidRPr="004B7E5B">
        <w:lastRenderedPageBreak/>
        <w:t>Interested in providing feedback on the Bill?</w:t>
      </w:r>
    </w:p>
    <w:p w:rsidRPr="004B7E5B" w:rsidR="004B7E5B" w:rsidP="004B7E5B" w:rsidRDefault="004B7E5B" w14:paraId="64B14DAF" w14:textId="780C5701">
      <w:r w:rsidRPr="004B7E5B">
        <w:t xml:space="preserve">The Australian Government is interested in your feedback on the Bill. To share your views, go to the Department’s Aged Care Engagement Hub at </w:t>
      </w:r>
      <w:hyperlink w:history="1" r:id="rId11">
        <w:r w:rsidRPr="00CB267C" w:rsidR="00DE1446">
          <w:rPr>
            <w:rStyle w:val="Hyperlink"/>
          </w:rPr>
          <w:t>http://www.agedcareengagement.health.gov.au/InspectorGeneral</w:t>
        </w:r>
      </w:hyperlink>
      <w:r w:rsidR="00DE1446">
        <w:t xml:space="preserve"> </w:t>
      </w:r>
      <w:r w:rsidRPr="004B7E5B">
        <w:t xml:space="preserve">and submit your feedback by </w:t>
      </w:r>
      <w:r w:rsidRPr="004B7E5B">
        <w:rPr>
          <w:u w:val="single"/>
        </w:rPr>
        <w:t>5:00pm (AEDT), 27 January</w:t>
      </w:r>
      <w:r w:rsidRPr="004B7E5B" w:rsidDel="00304845">
        <w:rPr>
          <w:u w:val="single"/>
        </w:rPr>
        <w:t xml:space="preserve"> </w:t>
      </w:r>
      <w:r w:rsidRPr="004B7E5B">
        <w:rPr>
          <w:u w:val="single"/>
        </w:rPr>
        <w:t>2023</w:t>
      </w:r>
      <w:r w:rsidRPr="004B7E5B">
        <w:t>.</w:t>
      </w:r>
    </w:p>
    <w:p w:rsidRPr="004B7E5B" w:rsidR="004B7E5B" w:rsidP="004B7E5B" w:rsidRDefault="004B7E5B" w14:paraId="00FE0F7D" w14:textId="09A51568">
      <w:r w:rsidRPr="004B7E5B">
        <w:t xml:space="preserve">Should you wish, you may want to address the following questions. These are included as a guide only, to support you to structure your feedback, if required. </w:t>
      </w:r>
    </w:p>
    <w:p w:rsidRPr="003F5F4D" w:rsidR="004B7E5B" w:rsidP="004B7E5B" w:rsidRDefault="004B7E5B" w14:paraId="19159D67" w14:textId="529E93BF">
      <w:pPr>
        <w:pStyle w:val="Boxheading"/>
        <w:rPr>
          <w:rStyle w:val="BoldAllCaps"/>
          <w:b/>
          <w:caps/>
        </w:rPr>
      </w:pPr>
      <w:r>
        <w:rPr>
          <w:rStyle w:val="BoldAllCaps"/>
          <w:b/>
          <w:caps/>
        </w:rPr>
        <w:t>CONSULTATION QUESTIONS</w:t>
      </w:r>
    </w:p>
    <w:p w:rsidR="004B7E5B" w:rsidP="004B7E5B" w:rsidRDefault="004B7E5B" w14:paraId="438FD480" w14:textId="77777777">
      <w:pPr>
        <w:pStyle w:val="Boxtype"/>
      </w:pPr>
      <w:r>
        <w:t xml:space="preserve">Do you support the proposed approach to: reviews, reports, and monitoring? </w:t>
      </w:r>
    </w:p>
    <w:p w:rsidR="004B7E5B" w:rsidP="004B7E5B" w:rsidRDefault="004B7E5B" w14:paraId="7FD80C1D" w14:textId="77777777">
      <w:pPr>
        <w:pStyle w:val="Boxtype"/>
      </w:pPr>
      <w:r>
        <w:t>Do you support the proposed information gathering powers? Are any other powers necessary?</w:t>
      </w:r>
    </w:p>
    <w:p w:rsidR="004B7E5B" w:rsidP="004B7E5B" w:rsidRDefault="004B7E5B" w14:paraId="1E55A322" w14:textId="77777777">
      <w:pPr>
        <w:pStyle w:val="Boxtype"/>
      </w:pPr>
      <w:r>
        <w:t>Are there other protections that should be included in the Bill?</w:t>
      </w:r>
    </w:p>
    <w:p w:rsidRPr="004B7E5B" w:rsidR="004B7E5B" w:rsidP="004B7E5B" w:rsidRDefault="004B7E5B" w14:paraId="194FC072" w14:textId="38745B3F">
      <w:pPr>
        <w:pStyle w:val="Boxtype"/>
      </w:pPr>
      <w:r>
        <w:t>Do you support the inclusion of penalties in the Bill? Are there other deterrents we should consider?</w:t>
      </w:r>
    </w:p>
    <w:p w:rsidRPr="004B7E5B" w:rsidR="004B7E5B" w:rsidP="004B7E5B" w:rsidRDefault="004B7E5B" w14:paraId="23969DDF" w14:textId="5FE41C77">
      <w:r w:rsidRPr="004B7E5B">
        <w:t xml:space="preserve">If you’d like more information, a more detailed consultation paper and the exposure draft of the Bill is available at </w:t>
      </w:r>
      <w:hyperlink w:history="1" r:id="rId12">
        <w:r w:rsidRPr="00CB267C">
          <w:rPr>
            <w:rStyle w:val="Hyperlink"/>
          </w:rPr>
          <w:t>http://www.agedcareengagement.health.gov.au/InspectorGeneral</w:t>
        </w:r>
      </w:hyperlink>
      <w:r>
        <w:t xml:space="preserve">. </w:t>
      </w:r>
    </w:p>
    <w:bookmarkEnd w:id="0"/>
    <w:p w:rsidR="004B7E5B" w:rsidP="004B7E5B" w:rsidRDefault="004B7E5B" w14:paraId="1D32FB1E" w14:textId="77777777">
      <w:pPr>
        <w:pStyle w:val="Introduction"/>
        <w:spacing w:before="0" w:after="160" w:line="259" w:lineRule="auto"/>
        <w:ind w:left="-284" w:right="0"/>
        <w:rPr>
          <w:rFonts w:ascii="Arial" w:hAnsi="Arial" w:cs="Arial"/>
          <w:b w:val="0"/>
          <w:bCs w:val="0"/>
          <w:color w:val="auto"/>
          <w:sz w:val="24"/>
          <w:lang w:val="en-GB"/>
        </w:rPr>
      </w:pPr>
    </w:p>
    <w:sectPr w:rsidR="004B7E5B" w:rsidSect="00B5398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orient="portrait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701" w:rsidP="006B56BB" w:rsidRDefault="006F7701" w14:paraId="12FCEE79" w14:textId="77777777">
      <w:r>
        <w:separator/>
      </w:r>
    </w:p>
    <w:p w:rsidR="006F7701" w:rsidRDefault="006F7701" w14:paraId="0C5543A5" w14:textId="77777777"/>
  </w:endnote>
  <w:endnote w:type="continuationSeparator" w:id="0">
    <w:p w:rsidR="006F7701" w:rsidP="006B56BB" w:rsidRDefault="006F7701" w14:paraId="23B3B566" w14:textId="77777777">
      <w:r>
        <w:continuationSeparator/>
      </w:r>
    </w:p>
    <w:p w:rsidR="006F7701" w:rsidRDefault="006F7701" w14:paraId="4042D7AE" w14:textId="77777777"/>
  </w:endnote>
  <w:endnote w:type="continuationNotice" w:id="1">
    <w:p w:rsidR="006F7701" w:rsidRDefault="006F7701" w14:paraId="769F207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987" w:rsidP="00B53987" w:rsidRDefault="004B7E5B" w14:paraId="08E2013B" w14:textId="690BB028">
    <w:pPr>
      <w:pStyle w:val="Footer"/>
    </w:pPr>
    <w:r w:rsidRPr="004B7E5B">
      <w:t>Consultation on an exposure draft of the Inspector-General of Aged Care Bill</w:t>
    </w: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Pr="003D033A" w:rsidR="00B53987">
          <w:fldChar w:fldCharType="begin"/>
        </w:r>
        <w:r w:rsidRPr="003D033A" w:rsidR="00B53987">
          <w:instrText xml:space="preserve"> PAGE   \* MERGEFORMAT </w:instrText>
        </w:r>
        <w:r w:rsidRPr="003D033A" w:rsidR="00B53987">
          <w:fldChar w:fldCharType="separate"/>
        </w:r>
        <w:r w:rsidR="00B53987">
          <w:t>1</w:t>
        </w:r>
        <w:r w:rsidRPr="003D033A" w:rsidR="00B5398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987" w:rsidP="00B53987" w:rsidRDefault="004B7E5B" w14:paraId="3B06C097" w14:textId="2F7F5880">
    <w:pPr>
      <w:pStyle w:val="Footer"/>
    </w:pPr>
    <w:r w:rsidRPr="004B7E5B">
      <w:t>Consultation on an exposure draft of the Inspector-General of Aged Care Bill</w:t>
    </w:r>
    <w:sdt>
      <w:sdtPr>
        <w:id w:val="-178737789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Pr="003D033A" w:rsidR="00B53987">
          <w:fldChar w:fldCharType="begin"/>
        </w:r>
        <w:r w:rsidRPr="003D033A" w:rsidR="00B53987">
          <w:instrText xml:space="preserve"> PAGE   \* MERGEFORMAT </w:instrText>
        </w:r>
        <w:r w:rsidRPr="003D033A" w:rsidR="00B53987">
          <w:fldChar w:fldCharType="separate"/>
        </w:r>
        <w:r w:rsidR="00B53987">
          <w:t>2</w:t>
        </w:r>
        <w:r w:rsidRPr="003D033A" w:rsidR="00B5398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701" w:rsidP="006B56BB" w:rsidRDefault="006F7701" w14:paraId="3C7A8DB1" w14:textId="77777777">
      <w:r>
        <w:separator/>
      </w:r>
    </w:p>
    <w:p w:rsidR="006F7701" w:rsidRDefault="006F7701" w14:paraId="449A95B1" w14:textId="77777777"/>
  </w:footnote>
  <w:footnote w:type="continuationSeparator" w:id="0">
    <w:p w:rsidR="006F7701" w:rsidP="006B56BB" w:rsidRDefault="006F7701" w14:paraId="7B7B572A" w14:textId="77777777">
      <w:r>
        <w:continuationSeparator/>
      </w:r>
    </w:p>
    <w:p w:rsidR="006F7701" w:rsidRDefault="006F7701" w14:paraId="45CBF00D" w14:textId="77777777"/>
  </w:footnote>
  <w:footnote w:type="continuationNotice" w:id="1">
    <w:p w:rsidR="006F7701" w:rsidRDefault="006F7701" w14:paraId="0F536F6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C77" w:rsidP="008E0C77" w:rsidRDefault="008E0C77" w14:paraId="191839A0" w14:textId="77777777">
    <w:pPr>
      <w:pStyle w:val="Headertext"/>
      <w:spacing w:after="1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3987" w:rsidRDefault="00B53987" w14:paraId="36361842" w14:textId="77777777">
    <w:pPr>
      <w:pStyle w:val="Header"/>
    </w:pPr>
    <w:r>
      <w:rPr>
        <w:noProof/>
        <w:lang w:eastAsia="en-AU"/>
      </w:rPr>
      <w:drawing>
        <wp:inline distT="0" distB="0" distL="0" distR="0" wp14:anchorId="2612A9C4" wp14:editId="35079D98">
          <wp:extent cx="5759450" cy="941705"/>
          <wp:effectExtent l="0" t="0" r="6350" b="0"/>
          <wp:docPr id="6" name="Picture 6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037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70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11" w15:restartNumberingAfterBreak="0">
    <w:nsid w:val="164E6AB2"/>
    <w:multiLevelType w:val="hybridMultilevel"/>
    <w:tmpl w:val="B95C93C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B45BCE"/>
    <w:multiLevelType w:val="hybridMultilevel"/>
    <w:tmpl w:val="BE80DBB6"/>
    <w:lvl w:ilvl="0" w:tplc="0FB87924">
      <w:start w:val="1"/>
      <w:numFmt w:val="decimal"/>
      <w:lvlText w:val="%1."/>
      <w:lvlJc w:val="left"/>
      <w:pPr>
        <w:ind w:left="76" w:hanging="360"/>
      </w:pPr>
      <w:rPr>
        <w:rFonts w:hint="default" w:eastAsiaTheme="minorHAnsi"/>
        <w:color w:val="3F4A75" w:themeColor="accent1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5" w15:restartNumberingAfterBreak="0">
    <w:nsid w:val="39872536"/>
    <w:multiLevelType w:val="multilevel"/>
    <w:tmpl w:val="801E7D94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hint="default" w:ascii="Symbol" w:hAnsi="Symbol"/>
        <w:sz w:val="20"/>
      </w:rPr>
    </w:lvl>
    <w:lvl w:ilvl="1">
      <w:numFmt w:val="bullet"/>
      <w:lvlText w:val="-"/>
      <w:lvlJc w:val="left"/>
      <w:pPr>
        <w:ind w:left="2445" w:hanging="360"/>
      </w:pPr>
      <w:rPr>
        <w:rFonts w:hint="default" w:ascii="Arial" w:hAnsi="Arial" w:eastAsia="Times New Roman" w:cs="Arial"/>
        <w:u w:val="single"/>
      </w:rPr>
    </w:lvl>
    <w:lvl w:ilvl="2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E6E45EA"/>
    <w:multiLevelType w:val="hybridMultilevel"/>
    <w:tmpl w:val="AA6C87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hint="default" w:ascii="Symbol" w:hAnsi="Symbol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8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7FA2FD4"/>
    <w:multiLevelType w:val="hybridMultilevel"/>
    <w:tmpl w:val="45D44498"/>
    <w:lvl w:ilvl="0" w:tplc="0016CE7C">
      <w:start w:val="1"/>
      <w:numFmt w:val="decimal"/>
      <w:lvlText w:val="%1."/>
      <w:lvlJc w:val="left"/>
      <w:pPr>
        <w:ind w:left="436" w:hanging="360"/>
      </w:pPr>
      <w:rPr>
        <w:color w:val="3F4A75" w:themeColor="accent1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9"/>
  </w:num>
  <w:num w:numId="7">
    <w:abstractNumId w:val="17"/>
  </w:num>
  <w:num w:numId="8">
    <w:abstractNumId w:val="2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10"/>
  </w:num>
  <w:num w:numId="18">
    <w:abstractNumId w:val="12"/>
  </w:num>
  <w:num w:numId="19">
    <w:abstractNumId w:val="14"/>
  </w:num>
  <w:num w:numId="20">
    <w:abstractNumId w:val="10"/>
  </w:num>
  <w:num w:numId="21">
    <w:abstractNumId w:val="14"/>
  </w:num>
  <w:num w:numId="22">
    <w:abstractNumId w:val="23"/>
  </w:num>
  <w:num w:numId="23">
    <w:abstractNumId w:val="19"/>
  </w:num>
  <w:num w:numId="24">
    <w:abstractNumId w:val="22"/>
  </w:num>
  <w:num w:numId="25">
    <w:abstractNumId w:val="8"/>
  </w:num>
  <w:num w:numId="26">
    <w:abstractNumId w:val="18"/>
  </w:num>
  <w:num w:numId="27">
    <w:abstractNumId w:val="15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10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trackRevisions w:val="true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72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3DC0"/>
    <w:rsid w:val="00046FF0"/>
    <w:rsid w:val="00050176"/>
    <w:rsid w:val="00050342"/>
    <w:rsid w:val="00067456"/>
    <w:rsid w:val="00071506"/>
    <w:rsid w:val="0007154F"/>
    <w:rsid w:val="00081AB1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D21F6"/>
    <w:rsid w:val="000D4500"/>
    <w:rsid w:val="000D7AEA"/>
    <w:rsid w:val="000E2C66"/>
    <w:rsid w:val="000F123C"/>
    <w:rsid w:val="000F2FED"/>
    <w:rsid w:val="0010616D"/>
    <w:rsid w:val="00110478"/>
    <w:rsid w:val="0011711B"/>
    <w:rsid w:val="00117F8A"/>
    <w:rsid w:val="00121B9B"/>
    <w:rsid w:val="00122ADC"/>
    <w:rsid w:val="00130F59"/>
    <w:rsid w:val="00133EC0"/>
    <w:rsid w:val="00135E1D"/>
    <w:rsid w:val="00141CE5"/>
    <w:rsid w:val="00144908"/>
    <w:rsid w:val="00156D96"/>
    <w:rsid w:val="001571C7"/>
    <w:rsid w:val="00161094"/>
    <w:rsid w:val="0017665C"/>
    <w:rsid w:val="00177AD2"/>
    <w:rsid w:val="001815A8"/>
    <w:rsid w:val="001840FA"/>
    <w:rsid w:val="00190079"/>
    <w:rsid w:val="0019622E"/>
    <w:rsid w:val="001966A7"/>
    <w:rsid w:val="001A4627"/>
    <w:rsid w:val="001A4979"/>
    <w:rsid w:val="001B15D3"/>
    <w:rsid w:val="001B3443"/>
    <w:rsid w:val="001C0326"/>
    <w:rsid w:val="001C192F"/>
    <w:rsid w:val="001C3C42"/>
    <w:rsid w:val="001D7869"/>
    <w:rsid w:val="002026CD"/>
    <w:rsid w:val="002033FC"/>
    <w:rsid w:val="002044BB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B20E6"/>
    <w:rsid w:val="002B42A3"/>
    <w:rsid w:val="002C0CDD"/>
    <w:rsid w:val="002C38C4"/>
    <w:rsid w:val="002E1A1D"/>
    <w:rsid w:val="002E4081"/>
    <w:rsid w:val="002E5B78"/>
    <w:rsid w:val="002F3AE3"/>
    <w:rsid w:val="0030464B"/>
    <w:rsid w:val="0030786C"/>
    <w:rsid w:val="003233DE"/>
    <w:rsid w:val="0032466B"/>
    <w:rsid w:val="003330EB"/>
    <w:rsid w:val="003415FD"/>
    <w:rsid w:val="003429F0"/>
    <w:rsid w:val="00345A82"/>
    <w:rsid w:val="0035097A"/>
    <w:rsid w:val="003540A4"/>
    <w:rsid w:val="00357BCC"/>
    <w:rsid w:val="00360E4E"/>
    <w:rsid w:val="00370AAA"/>
    <w:rsid w:val="00375F77"/>
    <w:rsid w:val="00381BBE"/>
    <w:rsid w:val="00382903"/>
    <w:rsid w:val="003846FF"/>
    <w:rsid w:val="003857D4"/>
    <w:rsid w:val="00385AD4"/>
    <w:rsid w:val="00387924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B7A21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5F4D"/>
    <w:rsid w:val="003F646F"/>
    <w:rsid w:val="00400F00"/>
    <w:rsid w:val="00404F8B"/>
    <w:rsid w:val="00405256"/>
    <w:rsid w:val="00410031"/>
    <w:rsid w:val="00415C81"/>
    <w:rsid w:val="00432378"/>
    <w:rsid w:val="00440D65"/>
    <w:rsid w:val="004435E6"/>
    <w:rsid w:val="00447E31"/>
    <w:rsid w:val="00453923"/>
    <w:rsid w:val="00454B9B"/>
    <w:rsid w:val="00457858"/>
    <w:rsid w:val="00460B0B"/>
    <w:rsid w:val="00461023"/>
    <w:rsid w:val="00462FAC"/>
    <w:rsid w:val="00464631"/>
    <w:rsid w:val="00464B79"/>
    <w:rsid w:val="00467BBF"/>
    <w:rsid w:val="0048593C"/>
    <w:rsid w:val="004867E2"/>
    <w:rsid w:val="004929A9"/>
    <w:rsid w:val="004A78D9"/>
    <w:rsid w:val="004B7E5B"/>
    <w:rsid w:val="004C6BCF"/>
    <w:rsid w:val="004D58BF"/>
    <w:rsid w:val="004E4335"/>
    <w:rsid w:val="004F13EE"/>
    <w:rsid w:val="004F2022"/>
    <w:rsid w:val="004F7C05"/>
    <w:rsid w:val="00501C94"/>
    <w:rsid w:val="00506432"/>
    <w:rsid w:val="00506E82"/>
    <w:rsid w:val="0052051D"/>
    <w:rsid w:val="00545EE6"/>
    <w:rsid w:val="005550E7"/>
    <w:rsid w:val="005564FB"/>
    <w:rsid w:val="005572C7"/>
    <w:rsid w:val="005650ED"/>
    <w:rsid w:val="00575754"/>
    <w:rsid w:val="00581FBA"/>
    <w:rsid w:val="00591E20"/>
    <w:rsid w:val="00595408"/>
    <w:rsid w:val="00595E84"/>
    <w:rsid w:val="005A0C59"/>
    <w:rsid w:val="005A48EB"/>
    <w:rsid w:val="005A6CFB"/>
    <w:rsid w:val="005C5AEB"/>
    <w:rsid w:val="005E0A3F"/>
    <w:rsid w:val="005E6883"/>
    <w:rsid w:val="005E772F"/>
    <w:rsid w:val="005F4ECA"/>
    <w:rsid w:val="006041BE"/>
    <w:rsid w:val="006043C7"/>
    <w:rsid w:val="00624B52"/>
    <w:rsid w:val="00630794"/>
    <w:rsid w:val="00631DF4"/>
    <w:rsid w:val="00634175"/>
    <w:rsid w:val="006408AC"/>
    <w:rsid w:val="006511B6"/>
    <w:rsid w:val="00657FF8"/>
    <w:rsid w:val="00670D99"/>
    <w:rsid w:val="00670E2B"/>
    <w:rsid w:val="006734BB"/>
    <w:rsid w:val="0067697A"/>
    <w:rsid w:val="006821EB"/>
    <w:rsid w:val="006B2286"/>
    <w:rsid w:val="006B56BB"/>
    <w:rsid w:val="006C77A8"/>
    <w:rsid w:val="006D4098"/>
    <w:rsid w:val="006D7681"/>
    <w:rsid w:val="006D7B2E"/>
    <w:rsid w:val="006E02EA"/>
    <w:rsid w:val="006E0968"/>
    <w:rsid w:val="006E2AF6"/>
    <w:rsid w:val="006F6866"/>
    <w:rsid w:val="006F7701"/>
    <w:rsid w:val="00701275"/>
    <w:rsid w:val="00707F56"/>
    <w:rsid w:val="00713558"/>
    <w:rsid w:val="00720D08"/>
    <w:rsid w:val="007263B9"/>
    <w:rsid w:val="007334F8"/>
    <w:rsid w:val="007339CD"/>
    <w:rsid w:val="007359D8"/>
    <w:rsid w:val="007362D4"/>
    <w:rsid w:val="0076672A"/>
    <w:rsid w:val="00775E45"/>
    <w:rsid w:val="00776E74"/>
    <w:rsid w:val="00781D5B"/>
    <w:rsid w:val="00785169"/>
    <w:rsid w:val="007954AB"/>
    <w:rsid w:val="007A14C5"/>
    <w:rsid w:val="007A4A10"/>
    <w:rsid w:val="007B1760"/>
    <w:rsid w:val="007C1FDC"/>
    <w:rsid w:val="007C6D9C"/>
    <w:rsid w:val="007C7DDB"/>
    <w:rsid w:val="007D2CC7"/>
    <w:rsid w:val="007D673D"/>
    <w:rsid w:val="007E0FB8"/>
    <w:rsid w:val="007E4D09"/>
    <w:rsid w:val="007F2220"/>
    <w:rsid w:val="007F4B3E"/>
    <w:rsid w:val="008127AF"/>
    <w:rsid w:val="00812B46"/>
    <w:rsid w:val="00815700"/>
    <w:rsid w:val="008264EB"/>
    <w:rsid w:val="00826B8F"/>
    <w:rsid w:val="00831E8A"/>
    <w:rsid w:val="00835C76"/>
    <w:rsid w:val="008376E2"/>
    <w:rsid w:val="00843049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42CB"/>
    <w:rsid w:val="008D48C9"/>
    <w:rsid w:val="008D6381"/>
    <w:rsid w:val="008E0C77"/>
    <w:rsid w:val="008E625F"/>
    <w:rsid w:val="008F264D"/>
    <w:rsid w:val="009040E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61E6"/>
    <w:rsid w:val="009268E1"/>
    <w:rsid w:val="009271EE"/>
    <w:rsid w:val="009344AE"/>
    <w:rsid w:val="009344DE"/>
    <w:rsid w:val="00945E7F"/>
    <w:rsid w:val="009557C1"/>
    <w:rsid w:val="00960D6E"/>
    <w:rsid w:val="00974B59"/>
    <w:rsid w:val="0098340B"/>
    <w:rsid w:val="00986830"/>
    <w:rsid w:val="009924C3"/>
    <w:rsid w:val="00993102"/>
    <w:rsid w:val="009B1570"/>
    <w:rsid w:val="009C0372"/>
    <w:rsid w:val="009C6F10"/>
    <w:rsid w:val="009D148F"/>
    <w:rsid w:val="009D3D70"/>
    <w:rsid w:val="009D6E31"/>
    <w:rsid w:val="009E6F7E"/>
    <w:rsid w:val="009E7A57"/>
    <w:rsid w:val="009F4803"/>
    <w:rsid w:val="009F4F6A"/>
    <w:rsid w:val="00A13EB5"/>
    <w:rsid w:val="00A16E36"/>
    <w:rsid w:val="00A24961"/>
    <w:rsid w:val="00A24B10"/>
    <w:rsid w:val="00A277EF"/>
    <w:rsid w:val="00A30E9B"/>
    <w:rsid w:val="00A4512D"/>
    <w:rsid w:val="00A50244"/>
    <w:rsid w:val="00A5505A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930AE"/>
    <w:rsid w:val="00AA1A95"/>
    <w:rsid w:val="00AA260F"/>
    <w:rsid w:val="00AA262B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F7386"/>
    <w:rsid w:val="00AF7934"/>
    <w:rsid w:val="00B00B81"/>
    <w:rsid w:val="00B04580"/>
    <w:rsid w:val="00B04B09"/>
    <w:rsid w:val="00B16A51"/>
    <w:rsid w:val="00B32222"/>
    <w:rsid w:val="00B3618D"/>
    <w:rsid w:val="00B36233"/>
    <w:rsid w:val="00B42851"/>
    <w:rsid w:val="00B45AC7"/>
    <w:rsid w:val="00B5372F"/>
    <w:rsid w:val="00B53987"/>
    <w:rsid w:val="00B61129"/>
    <w:rsid w:val="00B67E7F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2E9B"/>
    <w:rsid w:val="00BD7FB2"/>
    <w:rsid w:val="00C00930"/>
    <w:rsid w:val="00C060AD"/>
    <w:rsid w:val="00C113BF"/>
    <w:rsid w:val="00C2176E"/>
    <w:rsid w:val="00C23430"/>
    <w:rsid w:val="00C27D67"/>
    <w:rsid w:val="00C4631F"/>
    <w:rsid w:val="00C47CDE"/>
    <w:rsid w:val="00C50E16"/>
    <w:rsid w:val="00C55258"/>
    <w:rsid w:val="00C82EEB"/>
    <w:rsid w:val="00C971DC"/>
    <w:rsid w:val="00CA16B7"/>
    <w:rsid w:val="00CA62AE"/>
    <w:rsid w:val="00CB5B1A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147EB"/>
    <w:rsid w:val="00D34667"/>
    <w:rsid w:val="00D401E1"/>
    <w:rsid w:val="00D408B4"/>
    <w:rsid w:val="00D524C8"/>
    <w:rsid w:val="00D65099"/>
    <w:rsid w:val="00D70E24"/>
    <w:rsid w:val="00D72B61"/>
    <w:rsid w:val="00DA3D1D"/>
    <w:rsid w:val="00DB1436"/>
    <w:rsid w:val="00DB6286"/>
    <w:rsid w:val="00DB645F"/>
    <w:rsid w:val="00DB76E9"/>
    <w:rsid w:val="00DC0A67"/>
    <w:rsid w:val="00DC1D5E"/>
    <w:rsid w:val="00DC5220"/>
    <w:rsid w:val="00DD2061"/>
    <w:rsid w:val="00DD7DAB"/>
    <w:rsid w:val="00DE1446"/>
    <w:rsid w:val="00DE3355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2BCE"/>
    <w:rsid w:val="00E43B3C"/>
    <w:rsid w:val="00E50188"/>
    <w:rsid w:val="00E50BB3"/>
    <w:rsid w:val="00E515CB"/>
    <w:rsid w:val="00E52260"/>
    <w:rsid w:val="00E639B6"/>
    <w:rsid w:val="00E6434B"/>
    <w:rsid w:val="00E6463D"/>
    <w:rsid w:val="00E72E9B"/>
    <w:rsid w:val="00E850C3"/>
    <w:rsid w:val="00E87DF2"/>
    <w:rsid w:val="00E9462E"/>
    <w:rsid w:val="00EA470E"/>
    <w:rsid w:val="00EA47A7"/>
    <w:rsid w:val="00EA57EB"/>
    <w:rsid w:val="00EB3226"/>
    <w:rsid w:val="00EC213A"/>
    <w:rsid w:val="00EC7744"/>
    <w:rsid w:val="00ED0DAD"/>
    <w:rsid w:val="00ED0F46"/>
    <w:rsid w:val="00ED2373"/>
    <w:rsid w:val="00EE3E8A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2430D"/>
    <w:rsid w:val="00F321DE"/>
    <w:rsid w:val="00F33777"/>
    <w:rsid w:val="00F40648"/>
    <w:rsid w:val="00F47DA2"/>
    <w:rsid w:val="00F519FC"/>
    <w:rsid w:val="00F6239D"/>
    <w:rsid w:val="00F715D2"/>
    <w:rsid w:val="00F7274F"/>
    <w:rsid w:val="00F74E84"/>
    <w:rsid w:val="00F76FA8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768"/>
    <w:rsid w:val="00FF0AB0"/>
    <w:rsid w:val="00FF28AC"/>
    <w:rsid w:val="00FF777D"/>
    <w:rsid w:val="00FF7F62"/>
    <w:rsid w:val="500A6A11"/>
    <w:rsid w:val="7D4FB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3DC4DA"/>
  <w15:docId w15:val="{3744FF12-84FE-4FBA-862D-094FF46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99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uiPriority="99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hAnsi="Arial" w:eastAsiaTheme="majorEastAsia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hAnsi="Arial" w:eastAsiaTheme="majorEastAsia" w:cstheme="majorBidi"/>
      <w:iCs/>
      <w:color w:val="3F4A75"/>
      <w:spacing w:val="15"/>
      <w:sz w:val="40"/>
      <w:szCs w:val="24"/>
      <w:lang w:eastAsia="en-US"/>
    </w:rPr>
  </w:style>
  <w:style w:type="character" w:styleId="SubtitleChar" w:customStyle="1">
    <w:name w:val="Subtitle Char"/>
    <w:basedOn w:val="DefaultParagraphFont"/>
    <w:link w:val="Subtitle"/>
    <w:rsid w:val="00A719F6"/>
    <w:rPr>
      <w:rFonts w:ascii="Arial" w:hAnsi="Arial" w:eastAsiaTheme="majorEastAsia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hAnsi="Arial" w:eastAsiaTheme="majorEastAsia" w:cstheme="majorBidi"/>
      <w:b/>
      <w:color w:val="3F4A75"/>
      <w:kern w:val="28"/>
      <w:sz w:val="48"/>
      <w:szCs w:val="52"/>
      <w:lang w:eastAsia="en-US"/>
    </w:rPr>
  </w:style>
  <w:style w:type="character" w:styleId="TitleChar" w:customStyle="1">
    <w:name w:val="Title Char"/>
    <w:basedOn w:val="DefaultParagraphFont"/>
    <w:link w:val="Title"/>
    <w:rsid w:val="00A719F6"/>
    <w:rPr>
      <w:rFonts w:ascii="Arial" w:hAnsi="Arial" w:eastAsiaTheme="majorEastAsia" w:cstheme="majorBidi"/>
      <w:b/>
      <w:color w:val="3F4A75"/>
      <w:kern w:val="28"/>
      <w:sz w:val="48"/>
      <w:szCs w:val="52"/>
      <w:lang w:eastAsia="en-US"/>
    </w:rPr>
  </w:style>
  <w:style w:type="paragraph" w:styleId="Boxheading" w:customStyle="1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color="3F4A75" w:themeColor="accent1" w:sz="4" w:space="4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styleId="ImageTitle" w:customStyle="1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styleId="BodyTextChar" w:customStyle="1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uiPriority w:val="39"/>
    <w:locked/>
    <w:rsid w:val="00A719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Text" w:customStyle="1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Title" w:customStyle="1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styleId="HeaderChar" w:customStyle="1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styleId="TableHeaderWhite" w:customStyle="1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paragraph" w:styleId="Tablehead" w:customStyle="1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styleId="FigureTitle" w:customStyle="1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styleId="Headertext" w:customStyle="1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styleId="PHNGreyTable" w:customStyle="1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styleId="Tablelistbullet" w:customStyle="1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styleId="Tablelistnumber" w:customStyle="1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styleId="TableHeader" w:customStyle="1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styleId="SectionHeading" w:customStyle="1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styleId="FootnoteTextChar" w:customStyle="1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styleId="VisionBox" w:customStyle="1">
    <w:name w:val="VisionBox"/>
    <w:basedOn w:val="Normal"/>
    <w:qFormat/>
    <w:rsid w:val="00A719F6"/>
    <w:pPr>
      <w:pBdr>
        <w:top w:val="single" w:color="358189" w:sz="4" w:space="15"/>
        <w:bottom w:val="single" w:color="358189" w:sz="4" w:space="10"/>
      </w:pBdr>
      <w:spacing w:before="240" w:after="240" w:line="340" w:lineRule="exact"/>
    </w:pPr>
    <w:rPr>
      <w:rFonts w:eastAsiaTheme="minorHAnsi"/>
      <w:color w:val="358189"/>
    </w:rPr>
  </w:style>
  <w:style w:type="paragraph" w:styleId="Boxtype" w:customStyle="1">
    <w:name w:val="Box type"/>
    <w:next w:val="Normal"/>
    <w:qFormat/>
    <w:rsid w:val="00A719F6"/>
    <w:pPr>
      <w:pBdr>
        <w:top w:val="single" w:color="358189" w:sz="6" w:space="20"/>
        <w:left w:val="single" w:color="358189" w:sz="6" w:space="10"/>
        <w:bottom w:val="single" w:color="358189" w:sz="6" w:space="10"/>
        <w:right w:val="single" w:color="358189" w:sz="6" w:space="10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styleId="BoldAllCaps" w:customStyle="1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color="auto" w:sz="0" w:space="0"/>
    </w:rPr>
  </w:style>
  <w:style w:type="paragraph" w:styleId="PolicyStatement" w:customStyle="1">
    <w:name w:val="PolicyStatement"/>
    <w:basedOn w:val="Normal"/>
    <w:qFormat/>
    <w:rsid w:val="00A719F6"/>
    <w:pPr>
      <w:pBdr>
        <w:top w:val="single" w:color="F2F2F2" w:themeColor="background1" w:themeShade="F2" w:sz="4" w:space="20"/>
        <w:left w:val="single" w:color="F2F2F2" w:themeColor="background1" w:themeShade="F2" w:sz="4" w:space="10"/>
        <w:bottom w:val="single" w:color="F2F2F2" w:themeColor="background1" w:themeShade="F2" w:sz="4" w:space="10"/>
        <w:right w:val="single" w:color="F2F2F2" w:themeColor="background1" w:themeShade="F2" w:sz="4" w:space="10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styleId="IntroPara" w:customStyle="1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styleId="Intropara0" w:customStyle="1">
    <w:name w:val="Intro para"/>
    <w:basedOn w:val="VisionBox"/>
    <w:rsid w:val="008376E2"/>
    <w:pPr>
      <w:pBdr>
        <w:top w:val="none" w:color="auto" w:sz="0" w:space="0"/>
        <w:bottom w:val="none" w:color="auto" w:sz="0" w:space="0"/>
      </w:pBdr>
      <w:spacing w:before="480" w:line="400" w:lineRule="exact"/>
    </w:pPr>
    <w:rPr>
      <w:sz w:val="28"/>
    </w:rPr>
  </w:style>
  <w:style w:type="table" w:styleId="DepartmentofHealthtable" w:customStyle="1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abletitle0" w:customStyle="1">
    <w:name w:val="Table title"/>
    <w:basedOn w:val="Normal"/>
    <w:rsid w:val="009040E9"/>
    <w:rPr>
      <w:b/>
      <w:bCs/>
      <w:szCs w:val="20"/>
    </w:rPr>
  </w:style>
  <w:style w:type="paragraph" w:styleId="Tableheader0" w:customStyle="1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styleId="Tabletextleft" w:customStyle="1">
    <w:name w:val="Table text left"/>
    <w:autoRedefine/>
    <w:qFormat/>
    <w:rsid w:val="00A719F6"/>
    <w:pPr>
      <w:spacing w:before="60" w:after="60"/>
    </w:pPr>
    <w:rPr>
      <w:rFonts w:ascii="Arial" w:hAnsi="Arial"/>
      <w:color w:val="000000" w:themeColor="text1"/>
      <w:sz w:val="21"/>
      <w:szCs w:val="24"/>
      <w:lang w:eastAsia="en-US"/>
    </w:rPr>
  </w:style>
  <w:style w:type="paragraph" w:styleId="TabletextRight" w:customStyle="1">
    <w:name w:val="Table text Right"/>
    <w:basedOn w:val="Tabletextleft"/>
    <w:rsid w:val="009040E9"/>
    <w:pPr>
      <w:jc w:val="right"/>
    </w:pPr>
  </w:style>
  <w:style w:type="paragraph" w:styleId="Tabletextright0" w:customStyle="1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styleId="Footerrightpage" w:customStyle="1">
    <w:name w:val="Footer right page"/>
    <w:basedOn w:val="Footer"/>
    <w:rsid w:val="00A719F6"/>
  </w:style>
  <w:style w:type="character" w:styleId="Heading7Char" w:customStyle="1">
    <w:name w:val="Heading 7 Char"/>
    <w:basedOn w:val="DefaultParagraphFont"/>
    <w:link w:val="Heading7"/>
    <w:semiHidden/>
    <w:rsid w:val="00A719F6"/>
    <w:rPr>
      <w:rFonts w:ascii="Arial" w:hAnsi="Arial" w:eastAsiaTheme="majorEastAsia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Style1" w:customStyle="1">
    <w:name w:val="Style1"/>
    <w:next w:val="Normal"/>
    <w:rsid w:val="00A719F6"/>
    <w:pPr>
      <w:pBdr>
        <w:top w:val="single" w:color="358189" w:sz="6" w:space="20"/>
        <w:left w:val="single" w:color="358189" w:sz="6" w:space="10"/>
        <w:bottom w:val="single" w:color="358189" w:sz="6" w:space="10"/>
        <w:right w:val="single" w:color="358189" w:sz="6" w:space="10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styleId="Tabletextcentre" w:customStyle="1">
    <w:name w:val="Table text centre"/>
    <w:basedOn w:val="Tabletextleft"/>
    <w:rsid w:val="00A719F6"/>
    <w:pPr>
      <w:jc w:val="center"/>
    </w:pPr>
  </w:style>
  <w:style w:type="paragraph" w:styleId="TableTextright1" w:customStyle="1">
    <w:name w:val="Table Text right"/>
    <w:basedOn w:val="Tabletextleft"/>
    <w:rsid w:val="00A719F6"/>
    <w:pPr>
      <w:jc w:val="right"/>
    </w:pPr>
  </w:style>
  <w:style w:type="character" w:styleId="TableTitleChar" w:customStyle="1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URL" w:customStyle="1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styleId="ListParagraphChar" w:customStyle="1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B7E5B"/>
    <w:rPr>
      <w:rFonts w:ascii="Arial" w:hAnsi="Arial"/>
      <w:color w:val="000000" w:themeColor="text1"/>
      <w:sz w:val="22"/>
      <w:szCs w:val="24"/>
      <w:lang w:eastAsia="en-US"/>
    </w:rPr>
  </w:style>
  <w:style w:type="paragraph" w:styleId="Introduction" w:customStyle="1">
    <w:name w:val="Introduction"/>
    <w:basedOn w:val="Normal"/>
    <w:uiPriority w:val="5"/>
    <w:qFormat/>
    <w:rsid w:val="004B7E5B"/>
    <w:pPr>
      <w:keepLines/>
      <w:spacing w:before="480" w:after="0" w:line="216" w:lineRule="auto"/>
      <w:ind w:right="2268"/>
    </w:pPr>
    <w:rPr>
      <w:rFonts w:ascii="Segoe UI" w:hAnsi="Segoe UI" w:cs="Segoe UI" w:eastAsiaTheme="minorHAnsi"/>
      <w:b/>
      <w:bCs/>
      <w:color w:val="3F4A75" w:themeColor="accent1"/>
      <w:spacing w:val="-3"/>
      <w:sz w:val="28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B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gedcareengagement.health.gov.au/InspectorGenera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gedcareengagement.health.gov.au/InspectorGeneral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50254d1206484c9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33f6-9fd4-41e4-92c7-07afe23ed239}"/>
      </w:docPartPr>
      <w:docPartBody>
        <w:p w14:paraId="3B18E7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c2291-e1b6-47ff-a130-ab60a193957d">
      <UserInfo>
        <DisplayName>WHITTY, Cam</DisplayName>
        <AccountId>756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B85DA16D2574DB76868267F841C32" ma:contentTypeVersion="10" ma:contentTypeDescription="Create a new document." ma:contentTypeScope="" ma:versionID="ff4838db68778c49c54bcf08a28b01a0">
  <xsd:schema xmlns:xsd="http://www.w3.org/2001/XMLSchema" xmlns:xs="http://www.w3.org/2001/XMLSchema" xmlns:p="http://schemas.microsoft.com/office/2006/metadata/properties" xmlns:ns2="29d96d0e-e133-4b47-83df-43adca3dbbf0" xmlns:ns3="b43c2291-e1b6-47ff-a130-ab60a193957d" targetNamespace="http://schemas.microsoft.com/office/2006/metadata/properties" ma:root="true" ma:fieldsID="58ab8fdbb4aa6f479ef1cbe47237baf6" ns2:_="" ns3:_="">
    <xsd:import namespace="29d96d0e-e133-4b47-83df-43adca3dbbf0"/>
    <xsd:import namespace="b43c2291-e1b6-47ff-a130-ab60a1939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6d0e-e133-4b47-83df-43adca3db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c2291-e1b6-47ff-a130-ab60a1939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C6417-ADBB-487B-9091-DC3471F064BF}">
  <ds:schemaRefs>
    <ds:schemaRef ds:uri="b43c2291-e1b6-47ff-a130-ab60a193957d"/>
    <ds:schemaRef ds:uri="http://purl.org/dc/elements/1.1/"/>
    <ds:schemaRef ds:uri="http://schemas.microsoft.com/office/2006/metadata/properties"/>
    <ds:schemaRef ds:uri="29d96d0e-e133-4b47-83df-43adca3db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2489DF-7238-4E4F-8697-49706094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6d0e-e133-4b47-83df-43adca3dbbf0"/>
    <ds:schemaRef ds:uri="b43c2291-e1b6-47ff-a130-ab60a1939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 (blue)</dc:title>
  <dc:creator>DAUBNEY, Hannah</dc:creator>
  <cp:lastModifiedBy>STEPHEN, Robbie</cp:lastModifiedBy>
  <cp:revision>4</cp:revision>
  <dcterms:created xsi:type="dcterms:W3CDTF">2022-12-07T23:24:00Z</dcterms:created>
  <dcterms:modified xsi:type="dcterms:W3CDTF">2022-12-08T01:44:57Z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0x01010036AB85DA16D2574DB76868267F841C32</vt:lpwstr>
  </property>
  <property fmtid="{D5CDD505-2E9C-101B-9397-08002B2CF9AE}" pid="5" name="Section">
    <vt:lpwstr>5;#PCPD CC Corporate Communication SN|73cff0d0-7b20-43e0-ad96-75a3b55de641</vt:lpwstr>
  </property>
  <property fmtid="{D5CDD505-2E9C-101B-9397-08002B2CF9AE}" pid="6" name="_dlc_DocIdItemGuid">
    <vt:lpwstr>90f09fd1-754c-4bca-b3c5-1cd93aee0089</vt:lpwstr>
  </property>
  <property fmtid="{D5CDD505-2E9C-101B-9397-08002B2CF9AE}" pid="7" name="Keywords1">
    <vt:lpwstr>45;#Factsheet|e6399178-8246-423e-9818-2fbb787c959a;#4;# visual identity|a54ebda2-a0fd-45ec-8fc0-1cf31001b526</vt:lpwstr>
  </property>
  <property fmtid="{D5CDD505-2E9C-101B-9397-08002B2CF9AE}" pid="8" name="Information type">
    <vt:lpwstr>42;#Template|0635ea83-9a41-497c-9b11-d9d7178dcab7</vt:lpwstr>
  </property>
</Properties>
</file>