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5592A" w14:textId="7588E2EB" w:rsidR="00280050" w:rsidRPr="001A0956" w:rsidRDefault="00E336B1" w:rsidP="00D12430">
      <w:pPr>
        <w:rPr>
          <w:rFonts w:asciiTheme="minorHAnsi" w:hAnsiTheme="minorHAnsi"/>
          <w:b/>
          <w:bCs/>
        </w:rPr>
      </w:pPr>
      <w:r w:rsidRPr="001A0956">
        <w:rPr>
          <w:rFonts w:asciiTheme="minorHAnsi" w:hAnsiTheme="minorHAnsi"/>
          <w:b/>
          <w:bCs/>
        </w:rPr>
        <w:t>O</w:t>
      </w:r>
      <w:r w:rsidR="00377408" w:rsidRPr="001A0956">
        <w:rPr>
          <w:rFonts w:asciiTheme="minorHAnsi" w:hAnsiTheme="minorHAnsi"/>
          <w:b/>
          <w:bCs/>
        </w:rPr>
        <w:t>nline public survey to inform the development of the next National Oral Health Plan (2025-2034)</w:t>
      </w:r>
    </w:p>
    <w:sdt>
      <w:sdtPr>
        <w:rPr>
          <w:rFonts w:asciiTheme="minorHAnsi" w:eastAsiaTheme="minorHAnsi" w:hAnsiTheme="minorHAnsi" w:cs="Times New Roman"/>
          <w:color w:val="auto"/>
          <w:kern w:val="2"/>
          <w:sz w:val="24"/>
          <w:szCs w:val="24"/>
          <w:lang w:val="en-AU"/>
          <w14:ligatures w14:val="standardContextual"/>
        </w:rPr>
        <w:id w:val="-259462005"/>
        <w:docPartObj>
          <w:docPartGallery w:val="Table of Contents"/>
          <w:docPartUnique/>
        </w:docPartObj>
      </w:sdtPr>
      <w:sdtEndPr>
        <w:rPr>
          <w:b/>
          <w:bCs/>
          <w:noProof/>
        </w:rPr>
      </w:sdtEndPr>
      <w:sdtContent>
        <w:p w14:paraId="2FB06A49" w14:textId="627687CC" w:rsidR="00D12430" w:rsidRPr="00E3672D" w:rsidRDefault="00D12430">
          <w:pPr>
            <w:pStyle w:val="TOCHeading"/>
            <w:rPr>
              <w:rFonts w:asciiTheme="minorHAnsi" w:hAnsiTheme="minorHAnsi"/>
            </w:rPr>
          </w:pPr>
          <w:r w:rsidRPr="00E3672D">
            <w:rPr>
              <w:rFonts w:asciiTheme="minorHAnsi" w:hAnsiTheme="minorHAnsi"/>
            </w:rPr>
            <w:t>Contents</w:t>
          </w:r>
        </w:p>
        <w:p w14:paraId="6629286B" w14:textId="2C5E33DB" w:rsidR="00E3672D" w:rsidRPr="00E3672D" w:rsidRDefault="00D12430">
          <w:pPr>
            <w:pStyle w:val="TOC1"/>
            <w:tabs>
              <w:tab w:val="right" w:leader="dot" w:pos="9016"/>
            </w:tabs>
            <w:rPr>
              <w:rFonts w:asciiTheme="minorHAnsi" w:eastAsiaTheme="minorEastAsia" w:hAnsiTheme="minorHAnsi" w:cstheme="minorBidi"/>
              <w:noProof/>
              <w:lang w:eastAsia="en-AU"/>
            </w:rPr>
          </w:pPr>
          <w:r w:rsidRPr="00E3672D">
            <w:rPr>
              <w:rFonts w:asciiTheme="minorHAnsi" w:hAnsiTheme="minorHAnsi"/>
            </w:rPr>
            <w:fldChar w:fldCharType="begin"/>
          </w:r>
          <w:r w:rsidRPr="00E3672D">
            <w:rPr>
              <w:rFonts w:asciiTheme="minorHAnsi" w:hAnsiTheme="minorHAnsi"/>
            </w:rPr>
            <w:instrText xml:space="preserve"> TOC \o "1-3" \h \z \u </w:instrText>
          </w:r>
          <w:r w:rsidRPr="00E3672D">
            <w:rPr>
              <w:rFonts w:asciiTheme="minorHAnsi" w:hAnsiTheme="minorHAnsi"/>
            </w:rPr>
            <w:fldChar w:fldCharType="separate"/>
          </w:r>
          <w:hyperlink w:anchor="_Toc204343546" w:history="1">
            <w:r w:rsidR="00E3672D" w:rsidRPr="00E3672D">
              <w:rPr>
                <w:rStyle w:val="Hyperlink"/>
                <w:rFonts w:asciiTheme="minorHAnsi" w:hAnsiTheme="minorHAnsi"/>
                <w:noProof/>
              </w:rPr>
              <w:t>Purpose and scope of this paper</w:t>
            </w:r>
            <w:r w:rsidR="00E3672D" w:rsidRPr="00E3672D">
              <w:rPr>
                <w:rFonts w:asciiTheme="minorHAnsi" w:hAnsiTheme="minorHAnsi"/>
                <w:noProof/>
                <w:webHidden/>
              </w:rPr>
              <w:tab/>
            </w:r>
            <w:r w:rsidR="00E3672D" w:rsidRPr="00E3672D">
              <w:rPr>
                <w:rFonts w:asciiTheme="minorHAnsi" w:hAnsiTheme="minorHAnsi"/>
                <w:noProof/>
                <w:webHidden/>
              </w:rPr>
              <w:fldChar w:fldCharType="begin"/>
            </w:r>
            <w:r w:rsidR="00E3672D" w:rsidRPr="00E3672D">
              <w:rPr>
                <w:rFonts w:asciiTheme="minorHAnsi" w:hAnsiTheme="minorHAnsi"/>
                <w:noProof/>
                <w:webHidden/>
              </w:rPr>
              <w:instrText xml:space="preserve"> PAGEREF _Toc204343546 \h </w:instrText>
            </w:r>
            <w:r w:rsidR="00E3672D" w:rsidRPr="00E3672D">
              <w:rPr>
                <w:rFonts w:asciiTheme="minorHAnsi" w:hAnsiTheme="minorHAnsi"/>
                <w:noProof/>
                <w:webHidden/>
              </w:rPr>
            </w:r>
            <w:r w:rsidR="00E3672D" w:rsidRPr="00E3672D">
              <w:rPr>
                <w:rFonts w:asciiTheme="minorHAnsi" w:hAnsiTheme="minorHAnsi"/>
                <w:noProof/>
                <w:webHidden/>
              </w:rPr>
              <w:fldChar w:fldCharType="separate"/>
            </w:r>
            <w:r w:rsidR="00E3672D" w:rsidRPr="00E3672D">
              <w:rPr>
                <w:rFonts w:asciiTheme="minorHAnsi" w:hAnsiTheme="minorHAnsi"/>
                <w:noProof/>
                <w:webHidden/>
              </w:rPr>
              <w:t>1</w:t>
            </w:r>
            <w:r w:rsidR="00E3672D" w:rsidRPr="00E3672D">
              <w:rPr>
                <w:rFonts w:asciiTheme="minorHAnsi" w:hAnsiTheme="minorHAnsi"/>
                <w:noProof/>
                <w:webHidden/>
              </w:rPr>
              <w:fldChar w:fldCharType="end"/>
            </w:r>
          </w:hyperlink>
        </w:p>
        <w:p w14:paraId="54006B89" w14:textId="2CCFB17A" w:rsidR="00E3672D" w:rsidRPr="00E3672D" w:rsidRDefault="00E3672D">
          <w:pPr>
            <w:pStyle w:val="TOC1"/>
            <w:tabs>
              <w:tab w:val="right" w:leader="dot" w:pos="9016"/>
            </w:tabs>
            <w:rPr>
              <w:rFonts w:asciiTheme="minorHAnsi" w:eastAsiaTheme="minorEastAsia" w:hAnsiTheme="minorHAnsi" w:cstheme="minorBidi"/>
              <w:noProof/>
              <w:lang w:eastAsia="en-AU"/>
            </w:rPr>
          </w:pPr>
          <w:hyperlink w:anchor="_Toc204343547" w:history="1">
            <w:r w:rsidRPr="00E3672D">
              <w:rPr>
                <w:rStyle w:val="Hyperlink"/>
                <w:rFonts w:asciiTheme="minorHAnsi" w:hAnsiTheme="minorHAnsi"/>
                <w:noProof/>
              </w:rPr>
              <w:t>Draft framework for consultation</w:t>
            </w:r>
            <w:r w:rsidRPr="00E3672D">
              <w:rPr>
                <w:rFonts w:asciiTheme="minorHAnsi" w:hAnsiTheme="minorHAnsi"/>
                <w:noProof/>
                <w:webHidden/>
              </w:rPr>
              <w:tab/>
            </w:r>
            <w:r w:rsidRPr="00E3672D">
              <w:rPr>
                <w:rFonts w:asciiTheme="minorHAnsi" w:hAnsiTheme="minorHAnsi"/>
                <w:noProof/>
                <w:webHidden/>
              </w:rPr>
              <w:fldChar w:fldCharType="begin"/>
            </w:r>
            <w:r w:rsidRPr="00E3672D">
              <w:rPr>
                <w:rFonts w:asciiTheme="minorHAnsi" w:hAnsiTheme="minorHAnsi"/>
                <w:noProof/>
                <w:webHidden/>
              </w:rPr>
              <w:instrText xml:space="preserve"> PAGEREF _Toc204343547 \h </w:instrText>
            </w:r>
            <w:r w:rsidRPr="00E3672D">
              <w:rPr>
                <w:rFonts w:asciiTheme="minorHAnsi" w:hAnsiTheme="minorHAnsi"/>
                <w:noProof/>
                <w:webHidden/>
              </w:rPr>
            </w:r>
            <w:r w:rsidRPr="00E3672D">
              <w:rPr>
                <w:rFonts w:asciiTheme="minorHAnsi" w:hAnsiTheme="minorHAnsi"/>
                <w:noProof/>
                <w:webHidden/>
              </w:rPr>
              <w:fldChar w:fldCharType="separate"/>
            </w:r>
            <w:r w:rsidRPr="00E3672D">
              <w:rPr>
                <w:rFonts w:asciiTheme="minorHAnsi" w:hAnsiTheme="minorHAnsi"/>
                <w:noProof/>
                <w:webHidden/>
              </w:rPr>
              <w:t>4</w:t>
            </w:r>
            <w:r w:rsidRPr="00E3672D">
              <w:rPr>
                <w:rFonts w:asciiTheme="minorHAnsi" w:hAnsiTheme="minorHAnsi"/>
                <w:noProof/>
                <w:webHidden/>
              </w:rPr>
              <w:fldChar w:fldCharType="end"/>
            </w:r>
          </w:hyperlink>
        </w:p>
        <w:p w14:paraId="2F2A385E" w14:textId="23538170" w:rsidR="00E3672D" w:rsidRPr="00E3672D" w:rsidRDefault="00E3672D">
          <w:pPr>
            <w:pStyle w:val="TOC1"/>
            <w:tabs>
              <w:tab w:val="right" w:leader="dot" w:pos="9016"/>
            </w:tabs>
            <w:rPr>
              <w:rFonts w:asciiTheme="minorHAnsi" w:eastAsiaTheme="minorEastAsia" w:hAnsiTheme="minorHAnsi" w:cstheme="minorBidi"/>
              <w:noProof/>
              <w:lang w:eastAsia="en-AU"/>
            </w:rPr>
          </w:pPr>
          <w:hyperlink w:anchor="_Toc204343548" w:history="1">
            <w:r w:rsidRPr="00E3672D">
              <w:rPr>
                <w:rStyle w:val="Hyperlink"/>
                <w:rFonts w:asciiTheme="minorHAnsi" w:hAnsiTheme="minorHAnsi"/>
                <w:noProof/>
              </w:rPr>
              <w:t>The Vision: Better oral health</w:t>
            </w:r>
            <w:r w:rsidRPr="00E3672D">
              <w:rPr>
                <w:rFonts w:asciiTheme="minorHAnsi" w:hAnsiTheme="minorHAnsi"/>
                <w:noProof/>
                <w:webHidden/>
              </w:rPr>
              <w:tab/>
            </w:r>
            <w:r w:rsidRPr="00E3672D">
              <w:rPr>
                <w:rFonts w:asciiTheme="minorHAnsi" w:hAnsiTheme="minorHAnsi"/>
                <w:noProof/>
                <w:webHidden/>
              </w:rPr>
              <w:fldChar w:fldCharType="begin"/>
            </w:r>
            <w:r w:rsidRPr="00E3672D">
              <w:rPr>
                <w:rFonts w:asciiTheme="minorHAnsi" w:hAnsiTheme="minorHAnsi"/>
                <w:noProof/>
                <w:webHidden/>
              </w:rPr>
              <w:instrText xml:space="preserve"> PAGEREF _Toc204343548 \h </w:instrText>
            </w:r>
            <w:r w:rsidRPr="00E3672D">
              <w:rPr>
                <w:rFonts w:asciiTheme="minorHAnsi" w:hAnsiTheme="minorHAnsi"/>
                <w:noProof/>
                <w:webHidden/>
              </w:rPr>
            </w:r>
            <w:r w:rsidRPr="00E3672D">
              <w:rPr>
                <w:rFonts w:asciiTheme="minorHAnsi" w:hAnsiTheme="minorHAnsi"/>
                <w:noProof/>
                <w:webHidden/>
              </w:rPr>
              <w:fldChar w:fldCharType="separate"/>
            </w:r>
            <w:r w:rsidRPr="00E3672D">
              <w:rPr>
                <w:rFonts w:asciiTheme="minorHAnsi" w:hAnsiTheme="minorHAnsi"/>
                <w:noProof/>
                <w:webHidden/>
              </w:rPr>
              <w:t>5</w:t>
            </w:r>
            <w:r w:rsidRPr="00E3672D">
              <w:rPr>
                <w:rFonts w:asciiTheme="minorHAnsi" w:hAnsiTheme="minorHAnsi"/>
                <w:noProof/>
                <w:webHidden/>
              </w:rPr>
              <w:fldChar w:fldCharType="end"/>
            </w:r>
          </w:hyperlink>
        </w:p>
        <w:p w14:paraId="01C14093" w14:textId="794317CD" w:rsidR="00E3672D" w:rsidRPr="00E3672D" w:rsidRDefault="00E3672D">
          <w:pPr>
            <w:pStyle w:val="TOC1"/>
            <w:tabs>
              <w:tab w:val="right" w:leader="dot" w:pos="9016"/>
            </w:tabs>
            <w:rPr>
              <w:rFonts w:asciiTheme="minorHAnsi" w:eastAsiaTheme="minorEastAsia" w:hAnsiTheme="minorHAnsi" w:cstheme="minorBidi"/>
              <w:noProof/>
              <w:lang w:eastAsia="en-AU"/>
            </w:rPr>
          </w:pPr>
          <w:hyperlink w:anchor="_Toc204343549" w:history="1">
            <w:r w:rsidRPr="00E3672D">
              <w:rPr>
                <w:rStyle w:val="Hyperlink"/>
                <w:rFonts w:asciiTheme="minorHAnsi" w:hAnsiTheme="minorHAnsi"/>
                <w:noProof/>
              </w:rPr>
              <w:t>The Principles explained…</w:t>
            </w:r>
            <w:r w:rsidRPr="00E3672D">
              <w:rPr>
                <w:rFonts w:asciiTheme="minorHAnsi" w:hAnsiTheme="minorHAnsi"/>
                <w:noProof/>
                <w:webHidden/>
              </w:rPr>
              <w:tab/>
            </w:r>
            <w:r w:rsidRPr="00E3672D">
              <w:rPr>
                <w:rFonts w:asciiTheme="minorHAnsi" w:hAnsiTheme="minorHAnsi"/>
                <w:noProof/>
                <w:webHidden/>
              </w:rPr>
              <w:fldChar w:fldCharType="begin"/>
            </w:r>
            <w:r w:rsidRPr="00E3672D">
              <w:rPr>
                <w:rFonts w:asciiTheme="minorHAnsi" w:hAnsiTheme="minorHAnsi"/>
                <w:noProof/>
                <w:webHidden/>
              </w:rPr>
              <w:instrText xml:space="preserve"> PAGEREF _Toc204343549 \h </w:instrText>
            </w:r>
            <w:r w:rsidRPr="00E3672D">
              <w:rPr>
                <w:rFonts w:asciiTheme="minorHAnsi" w:hAnsiTheme="minorHAnsi"/>
                <w:noProof/>
                <w:webHidden/>
              </w:rPr>
            </w:r>
            <w:r w:rsidRPr="00E3672D">
              <w:rPr>
                <w:rFonts w:asciiTheme="minorHAnsi" w:hAnsiTheme="minorHAnsi"/>
                <w:noProof/>
                <w:webHidden/>
              </w:rPr>
              <w:fldChar w:fldCharType="separate"/>
            </w:r>
            <w:r w:rsidRPr="00E3672D">
              <w:rPr>
                <w:rFonts w:asciiTheme="minorHAnsi" w:hAnsiTheme="minorHAnsi"/>
                <w:noProof/>
                <w:webHidden/>
              </w:rPr>
              <w:t>5</w:t>
            </w:r>
            <w:r w:rsidRPr="00E3672D">
              <w:rPr>
                <w:rFonts w:asciiTheme="minorHAnsi" w:hAnsiTheme="minorHAnsi"/>
                <w:noProof/>
                <w:webHidden/>
              </w:rPr>
              <w:fldChar w:fldCharType="end"/>
            </w:r>
          </w:hyperlink>
        </w:p>
        <w:p w14:paraId="6DD6F362" w14:textId="5FAA1274" w:rsidR="00E3672D" w:rsidRPr="00E3672D" w:rsidRDefault="00E3672D">
          <w:pPr>
            <w:pStyle w:val="TOC1"/>
            <w:tabs>
              <w:tab w:val="right" w:leader="dot" w:pos="9016"/>
            </w:tabs>
            <w:rPr>
              <w:rFonts w:asciiTheme="minorHAnsi" w:eastAsiaTheme="minorEastAsia" w:hAnsiTheme="minorHAnsi" w:cstheme="minorBidi"/>
              <w:noProof/>
              <w:lang w:eastAsia="en-AU"/>
            </w:rPr>
          </w:pPr>
          <w:hyperlink w:anchor="_Toc204343550" w:history="1">
            <w:r w:rsidRPr="00E3672D">
              <w:rPr>
                <w:rStyle w:val="Hyperlink"/>
                <w:rFonts w:asciiTheme="minorHAnsi" w:hAnsiTheme="minorHAnsi"/>
                <w:noProof/>
              </w:rPr>
              <w:t>Focus areas – 7 focus areas set out objectives of the plan</w:t>
            </w:r>
            <w:r w:rsidRPr="00E3672D">
              <w:rPr>
                <w:rFonts w:asciiTheme="minorHAnsi" w:hAnsiTheme="minorHAnsi"/>
                <w:noProof/>
                <w:webHidden/>
              </w:rPr>
              <w:tab/>
            </w:r>
            <w:r w:rsidRPr="00E3672D">
              <w:rPr>
                <w:rFonts w:asciiTheme="minorHAnsi" w:hAnsiTheme="minorHAnsi"/>
                <w:noProof/>
                <w:webHidden/>
              </w:rPr>
              <w:fldChar w:fldCharType="begin"/>
            </w:r>
            <w:r w:rsidRPr="00E3672D">
              <w:rPr>
                <w:rFonts w:asciiTheme="minorHAnsi" w:hAnsiTheme="minorHAnsi"/>
                <w:noProof/>
                <w:webHidden/>
              </w:rPr>
              <w:instrText xml:space="preserve"> PAGEREF _Toc204343550 \h </w:instrText>
            </w:r>
            <w:r w:rsidRPr="00E3672D">
              <w:rPr>
                <w:rFonts w:asciiTheme="minorHAnsi" w:hAnsiTheme="minorHAnsi"/>
                <w:noProof/>
                <w:webHidden/>
              </w:rPr>
            </w:r>
            <w:r w:rsidRPr="00E3672D">
              <w:rPr>
                <w:rFonts w:asciiTheme="minorHAnsi" w:hAnsiTheme="minorHAnsi"/>
                <w:noProof/>
                <w:webHidden/>
              </w:rPr>
              <w:fldChar w:fldCharType="separate"/>
            </w:r>
            <w:r w:rsidRPr="00E3672D">
              <w:rPr>
                <w:rFonts w:asciiTheme="minorHAnsi" w:hAnsiTheme="minorHAnsi"/>
                <w:noProof/>
                <w:webHidden/>
              </w:rPr>
              <w:t>5</w:t>
            </w:r>
            <w:r w:rsidRPr="00E3672D">
              <w:rPr>
                <w:rFonts w:asciiTheme="minorHAnsi" w:hAnsiTheme="minorHAnsi"/>
                <w:noProof/>
                <w:webHidden/>
              </w:rPr>
              <w:fldChar w:fldCharType="end"/>
            </w:r>
          </w:hyperlink>
        </w:p>
        <w:p w14:paraId="6A43E858" w14:textId="0D518DE2" w:rsidR="00E3672D" w:rsidRPr="00E3672D" w:rsidRDefault="00E3672D">
          <w:pPr>
            <w:pStyle w:val="TOC1"/>
            <w:tabs>
              <w:tab w:val="right" w:leader="dot" w:pos="9016"/>
            </w:tabs>
            <w:rPr>
              <w:rFonts w:asciiTheme="minorHAnsi" w:eastAsiaTheme="minorEastAsia" w:hAnsiTheme="minorHAnsi" w:cstheme="minorBidi"/>
              <w:noProof/>
              <w:lang w:eastAsia="en-AU"/>
            </w:rPr>
          </w:pPr>
          <w:hyperlink w:anchor="_Toc204343551" w:history="1">
            <w:r w:rsidRPr="00E3672D">
              <w:rPr>
                <w:rStyle w:val="Hyperlink"/>
                <w:rFonts w:asciiTheme="minorHAnsi" w:hAnsiTheme="minorHAnsi"/>
                <w:noProof/>
              </w:rPr>
              <w:t>Outcomes for 2034</w:t>
            </w:r>
            <w:r w:rsidRPr="00E3672D">
              <w:rPr>
                <w:rFonts w:asciiTheme="minorHAnsi" w:hAnsiTheme="minorHAnsi"/>
                <w:noProof/>
                <w:webHidden/>
              </w:rPr>
              <w:tab/>
            </w:r>
            <w:r w:rsidRPr="00E3672D">
              <w:rPr>
                <w:rFonts w:asciiTheme="minorHAnsi" w:hAnsiTheme="minorHAnsi"/>
                <w:noProof/>
                <w:webHidden/>
              </w:rPr>
              <w:fldChar w:fldCharType="begin"/>
            </w:r>
            <w:r w:rsidRPr="00E3672D">
              <w:rPr>
                <w:rFonts w:asciiTheme="minorHAnsi" w:hAnsiTheme="minorHAnsi"/>
                <w:noProof/>
                <w:webHidden/>
              </w:rPr>
              <w:instrText xml:space="preserve"> PAGEREF _Toc204343551 \h </w:instrText>
            </w:r>
            <w:r w:rsidRPr="00E3672D">
              <w:rPr>
                <w:rFonts w:asciiTheme="minorHAnsi" w:hAnsiTheme="minorHAnsi"/>
                <w:noProof/>
                <w:webHidden/>
              </w:rPr>
            </w:r>
            <w:r w:rsidRPr="00E3672D">
              <w:rPr>
                <w:rFonts w:asciiTheme="minorHAnsi" w:hAnsiTheme="minorHAnsi"/>
                <w:noProof/>
                <w:webHidden/>
              </w:rPr>
              <w:fldChar w:fldCharType="separate"/>
            </w:r>
            <w:r w:rsidRPr="00E3672D">
              <w:rPr>
                <w:rFonts w:asciiTheme="minorHAnsi" w:hAnsiTheme="minorHAnsi"/>
                <w:noProof/>
                <w:webHidden/>
              </w:rPr>
              <w:t>6</w:t>
            </w:r>
            <w:r w:rsidRPr="00E3672D">
              <w:rPr>
                <w:rFonts w:asciiTheme="minorHAnsi" w:hAnsiTheme="minorHAnsi"/>
                <w:noProof/>
                <w:webHidden/>
              </w:rPr>
              <w:fldChar w:fldCharType="end"/>
            </w:r>
          </w:hyperlink>
        </w:p>
        <w:p w14:paraId="4A355E8C" w14:textId="4207BDB0" w:rsidR="00E3672D" w:rsidRPr="00E3672D" w:rsidRDefault="00E3672D">
          <w:pPr>
            <w:pStyle w:val="TOC2"/>
            <w:tabs>
              <w:tab w:val="right" w:leader="dot" w:pos="9016"/>
            </w:tabs>
            <w:rPr>
              <w:rFonts w:asciiTheme="minorHAnsi" w:eastAsiaTheme="minorEastAsia" w:hAnsiTheme="minorHAnsi" w:cstheme="minorBidi"/>
              <w:noProof/>
              <w:lang w:eastAsia="en-AU"/>
            </w:rPr>
          </w:pPr>
          <w:hyperlink w:anchor="_Toc204343552" w:history="1">
            <w:r w:rsidRPr="00E3672D">
              <w:rPr>
                <w:rStyle w:val="Hyperlink"/>
                <w:rFonts w:asciiTheme="minorHAnsi" w:hAnsiTheme="minorHAnsi"/>
                <w:noProof/>
              </w:rPr>
              <w:t>How will we achieve the outcomes for 2034?</w:t>
            </w:r>
            <w:r w:rsidRPr="00E3672D">
              <w:rPr>
                <w:rFonts w:asciiTheme="minorHAnsi" w:hAnsiTheme="minorHAnsi"/>
                <w:noProof/>
                <w:webHidden/>
              </w:rPr>
              <w:tab/>
            </w:r>
            <w:r w:rsidRPr="00E3672D">
              <w:rPr>
                <w:rFonts w:asciiTheme="minorHAnsi" w:hAnsiTheme="minorHAnsi"/>
                <w:noProof/>
                <w:webHidden/>
              </w:rPr>
              <w:fldChar w:fldCharType="begin"/>
            </w:r>
            <w:r w:rsidRPr="00E3672D">
              <w:rPr>
                <w:rFonts w:asciiTheme="minorHAnsi" w:hAnsiTheme="minorHAnsi"/>
                <w:noProof/>
                <w:webHidden/>
              </w:rPr>
              <w:instrText xml:space="preserve"> PAGEREF _Toc204343552 \h </w:instrText>
            </w:r>
            <w:r w:rsidRPr="00E3672D">
              <w:rPr>
                <w:rFonts w:asciiTheme="minorHAnsi" w:hAnsiTheme="minorHAnsi"/>
                <w:noProof/>
                <w:webHidden/>
              </w:rPr>
            </w:r>
            <w:r w:rsidRPr="00E3672D">
              <w:rPr>
                <w:rFonts w:asciiTheme="minorHAnsi" w:hAnsiTheme="minorHAnsi"/>
                <w:noProof/>
                <w:webHidden/>
              </w:rPr>
              <w:fldChar w:fldCharType="separate"/>
            </w:r>
            <w:r w:rsidRPr="00E3672D">
              <w:rPr>
                <w:rFonts w:asciiTheme="minorHAnsi" w:hAnsiTheme="minorHAnsi"/>
                <w:noProof/>
                <w:webHidden/>
              </w:rPr>
              <w:t>6</w:t>
            </w:r>
            <w:r w:rsidRPr="00E3672D">
              <w:rPr>
                <w:rFonts w:asciiTheme="minorHAnsi" w:hAnsiTheme="minorHAnsi"/>
                <w:noProof/>
                <w:webHidden/>
              </w:rPr>
              <w:fldChar w:fldCharType="end"/>
            </w:r>
          </w:hyperlink>
        </w:p>
        <w:p w14:paraId="7C78EDE2" w14:textId="5BC1E65F" w:rsidR="00E3672D" w:rsidRPr="00E3672D" w:rsidRDefault="00E3672D">
          <w:pPr>
            <w:pStyle w:val="TOC2"/>
            <w:tabs>
              <w:tab w:val="right" w:leader="dot" w:pos="9016"/>
            </w:tabs>
            <w:rPr>
              <w:rFonts w:asciiTheme="minorHAnsi" w:eastAsiaTheme="minorEastAsia" w:hAnsiTheme="minorHAnsi" w:cstheme="minorBidi"/>
              <w:noProof/>
              <w:lang w:eastAsia="en-AU"/>
            </w:rPr>
          </w:pPr>
          <w:hyperlink w:anchor="_Toc204343553" w:history="1">
            <w:r w:rsidRPr="00E3672D">
              <w:rPr>
                <w:rStyle w:val="Hyperlink"/>
                <w:rFonts w:asciiTheme="minorHAnsi" w:hAnsiTheme="minorHAnsi"/>
                <w:noProof/>
              </w:rPr>
              <w:t>Focus Area 1: Reduce Australia’s oral disease burden</w:t>
            </w:r>
            <w:r w:rsidRPr="00E3672D">
              <w:rPr>
                <w:rFonts w:asciiTheme="minorHAnsi" w:hAnsiTheme="minorHAnsi"/>
                <w:noProof/>
                <w:webHidden/>
              </w:rPr>
              <w:tab/>
            </w:r>
            <w:r w:rsidRPr="00E3672D">
              <w:rPr>
                <w:rFonts w:asciiTheme="minorHAnsi" w:hAnsiTheme="minorHAnsi"/>
                <w:noProof/>
                <w:webHidden/>
              </w:rPr>
              <w:fldChar w:fldCharType="begin"/>
            </w:r>
            <w:r w:rsidRPr="00E3672D">
              <w:rPr>
                <w:rFonts w:asciiTheme="minorHAnsi" w:hAnsiTheme="minorHAnsi"/>
                <w:noProof/>
                <w:webHidden/>
              </w:rPr>
              <w:instrText xml:space="preserve"> PAGEREF _Toc204343553 \h </w:instrText>
            </w:r>
            <w:r w:rsidRPr="00E3672D">
              <w:rPr>
                <w:rFonts w:asciiTheme="minorHAnsi" w:hAnsiTheme="minorHAnsi"/>
                <w:noProof/>
                <w:webHidden/>
              </w:rPr>
            </w:r>
            <w:r w:rsidRPr="00E3672D">
              <w:rPr>
                <w:rFonts w:asciiTheme="minorHAnsi" w:hAnsiTheme="minorHAnsi"/>
                <w:noProof/>
                <w:webHidden/>
              </w:rPr>
              <w:fldChar w:fldCharType="separate"/>
            </w:r>
            <w:r w:rsidRPr="00E3672D">
              <w:rPr>
                <w:rFonts w:asciiTheme="minorHAnsi" w:hAnsiTheme="minorHAnsi"/>
                <w:noProof/>
                <w:webHidden/>
              </w:rPr>
              <w:t>6</w:t>
            </w:r>
            <w:r w:rsidRPr="00E3672D">
              <w:rPr>
                <w:rFonts w:asciiTheme="minorHAnsi" w:hAnsiTheme="minorHAnsi"/>
                <w:noProof/>
                <w:webHidden/>
              </w:rPr>
              <w:fldChar w:fldCharType="end"/>
            </w:r>
          </w:hyperlink>
        </w:p>
        <w:p w14:paraId="464AECD0" w14:textId="4515C44F" w:rsidR="00E3672D" w:rsidRPr="00E3672D" w:rsidRDefault="00E3672D">
          <w:pPr>
            <w:pStyle w:val="TOC2"/>
            <w:tabs>
              <w:tab w:val="right" w:leader="dot" w:pos="9016"/>
            </w:tabs>
            <w:rPr>
              <w:rFonts w:asciiTheme="minorHAnsi" w:eastAsiaTheme="minorEastAsia" w:hAnsiTheme="minorHAnsi" w:cstheme="minorBidi"/>
              <w:noProof/>
              <w:lang w:eastAsia="en-AU"/>
            </w:rPr>
          </w:pPr>
          <w:hyperlink w:anchor="_Toc204343554" w:history="1">
            <w:r w:rsidRPr="00E3672D">
              <w:rPr>
                <w:rStyle w:val="Hyperlink"/>
                <w:rFonts w:asciiTheme="minorHAnsi" w:hAnsiTheme="minorHAnsi"/>
                <w:noProof/>
              </w:rPr>
              <w:t>Focus Area 2: Improve the effectiveness of oral health prevention and promotion</w:t>
            </w:r>
            <w:r w:rsidRPr="00E3672D">
              <w:rPr>
                <w:rFonts w:asciiTheme="minorHAnsi" w:hAnsiTheme="minorHAnsi"/>
                <w:noProof/>
                <w:webHidden/>
              </w:rPr>
              <w:tab/>
            </w:r>
            <w:r w:rsidRPr="00E3672D">
              <w:rPr>
                <w:rFonts w:asciiTheme="minorHAnsi" w:hAnsiTheme="minorHAnsi"/>
                <w:noProof/>
                <w:webHidden/>
              </w:rPr>
              <w:fldChar w:fldCharType="begin"/>
            </w:r>
            <w:r w:rsidRPr="00E3672D">
              <w:rPr>
                <w:rFonts w:asciiTheme="minorHAnsi" w:hAnsiTheme="minorHAnsi"/>
                <w:noProof/>
                <w:webHidden/>
              </w:rPr>
              <w:instrText xml:space="preserve"> PAGEREF _Toc204343554 \h </w:instrText>
            </w:r>
            <w:r w:rsidRPr="00E3672D">
              <w:rPr>
                <w:rFonts w:asciiTheme="minorHAnsi" w:hAnsiTheme="minorHAnsi"/>
                <w:noProof/>
                <w:webHidden/>
              </w:rPr>
            </w:r>
            <w:r w:rsidRPr="00E3672D">
              <w:rPr>
                <w:rFonts w:asciiTheme="minorHAnsi" w:hAnsiTheme="minorHAnsi"/>
                <w:noProof/>
                <w:webHidden/>
              </w:rPr>
              <w:fldChar w:fldCharType="separate"/>
            </w:r>
            <w:r w:rsidRPr="00E3672D">
              <w:rPr>
                <w:rFonts w:asciiTheme="minorHAnsi" w:hAnsiTheme="minorHAnsi"/>
                <w:noProof/>
                <w:webHidden/>
              </w:rPr>
              <w:t>7</w:t>
            </w:r>
            <w:r w:rsidRPr="00E3672D">
              <w:rPr>
                <w:rFonts w:asciiTheme="minorHAnsi" w:hAnsiTheme="minorHAnsi"/>
                <w:noProof/>
                <w:webHidden/>
              </w:rPr>
              <w:fldChar w:fldCharType="end"/>
            </w:r>
          </w:hyperlink>
        </w:p>
        <w:p w14:paraId="436BCF30" w14:textId="26B70E51" w:rsidR="00E3672D" w:rsidRPr="00E3672D" w:rsidRDefault="00E3672D">
          <w:pPr>
            <w:pStyle w:val="TOC2"/>
            <w:tabs>
              <w:tab w:val="right" w:leader="dot" w:pos="9016"/>
            </w:tabs>
            <w:rPr>
              <w:rFonts w:asciiTheme="minorHAnsi" w:eastAsiaTheme="minorEastAsia" w:hAnsiTheme="minorHAnsi" w:cstheme="minorBidi"/>
              <w:noProof/>
              <w:lang w:eastAsia="en-AU"/>
            </w:rPr>
          </w:pPr>
          <w:hyperlink w:anchor="_Toc204343555" w:history="1">
            <w:r w:rsidRPr="00E3672D">
              <w:rPr>
                <w:rStyle w:val="Hyperlink"/>
                <w:rFonts w:asciiTheme="minorHAnsi" w:hAnsiTheme="minorHAnsi"/>
                <w:noProof/>
              </w:rPr>
              <w:t>Focus Area 3: Improve health outcomes and reduce the impact of poor oral health for Aboriginal and Torres Strait Islander people</w:t>
            </w:r>
            <w:r w:rsidRPr="00E3672D">
              <w:rPr>
                <w:rFonts w:asciiTheme="minorHAnsi" w:hAnsiTheme="minorHAnsi"/>
                <w:noProof/>
                <w:webHidden/>
              </w:rPr>
              <w:tab/>
            </w:r>
            <w:r w:rsidRPr="00E3672D">
              <w:rPr>
                <w:rFonts w:asciiTheme="minorHAnsi" w:hAnsiTheme="minorHAnsi"/>
                <w:noProof/>
                <w:webHidden/>
              </w:rPr>
              <w:fldChar w:fldCharType="begin"/>
            </w:r>
            <w:r w:rsidRPr="00E3672D">
              <w:rPr>
                <w:rFonts w:asciiTheme="minorHAnsi" w:hAnsiTheme="minorHAnsi"/>
                <w:noProof/>
                <w:webHidden/>
              </w:rPr>
              <w:instrText xml:space="preserve"> PAGEREF _Toc204343555 \h </w:instrText>
            </w:r>
            <w:r w:rsidRPr="00E3672D">
              <w:rPr>
                <w:rFonts w:asciiTheme="minorHAnsi" w:hAnsiTheme="minorHAnsi"/>
                <w:noProof/>
                <w:webHidden/>
              </w:rPr>
            </w:r>
            <w:r w:rsidRPr="00E3672D">
              <w:rPr>
                <w:rFonts w:asciiTheme="minorHAnsi" w:hAnsiTheme="minorHAnsi"/>
                <w:noProof/>
                <w:webHidden/>
              </w:rPr>
              <w:fldChar w:fldCharType="separate"/>
            </w:r>
            <w:r w:rsidRPr="00E3672D">
              <w:rPr>
                <w:rFonts w:asciiTheme="minorHAnsi" w:hAnsiTheme="minorHAnsi"/>
                <w:noProof/>
                <w:webHidden/>
              </w:rPr>
              <w:t>8</w:t>
            </w:r>
            <w:r w:rsidRPr="00E3672D">
              <w:rPr>
                <w:rFonts w:asciiTheme="minorHAnsi" w:hAnsiTheme="minorHAnsi"/>
                <w:noProof/>
                <w:webHidden/>
              </w:rPr>
              <w:fldChar w:fldCharType="end"/>
            </w:r>
          </w:hyperlink>
        </w:p>
        <w:p w14:paraId="19F8464C" w14:textId="25DA289A" w:rsidR="00E3672D" w:rsidRPr="00E3672D" w:rsidRDefault="00E3672D">
          <w:pPr>
            <w:pStyle w:val="TOC2"/>
            <w:tabs>
              <w:tab w:val="right" w:leader="dot" w:pos="9016"/>
            </w:tabs>
            <w:rPr>
              <w:rFonts w:asciiTheme="minorHAnsi" w:eastAsiaTheme="minorEastAsia" w:hAnsiTheme="minorHAnsi" w:cstheme="minorBidi"/>
              <w:noProof/>
              <w:lang w:eastAsia="en-AU"/>
            </w:rPr>
          </w:pPr>
          <w:hyperlink w:anchor="_Toc204343556" w:history="1">
            <w:r w:rsidRPr="00E3672D">
              <w:rPr>
                <w:rStyle w:val="Hyperlink"/>
                <w:rFonts w:asciiTheme="minorHAnsi" w:hAnsiTheme="minorHAnsi"/>
                <w:noProof/>
              </w:rPr>
              <w:t>Focus Area 4: Improve equity of oral health access</w:t>
            </w:r>
            <w:r w:rsidRPr="00E3672D">
              <w:rPr>
                <w:rFonts w:asciiTheme="minorHAnsi" w:hAnsiTheme="minorHAnsi"/>
                <w:noProof/>
                <w:webHidden/>
              </w:rPr>
              <w:tab/>
            </w:r>
            <w:r w:rsidRPr="00E3672D">
              <w:rPr>
                <w:rFonts w:asciiTheme="minorHAnsi" w:hAnsiTheme="minorHAnsi"/>
                <w:noProof/>
                <w:webHidden/>
              </w:rPr>
              <w:fldChar w:fldCharType="begin"/>
            </w:r>
            <w:r w:rsidRPr="00E3672D">
              <w:rPr>
                <w:rFonts w:asciiTheme="minorHAnsi" w:hAnsiTheme="minorHAnsi"/>
                <w:noProof/>
                <w:webHidden/>
              </w:rPr>
              <w:instrText xml:space="preserve"> PAGEREF _Toc204343556 \h </w:instrText>
            </w:r>
            <w:r w:rsidRPr="00E3672D">
              <w:rPr>
                <w:rFonts w:asciiTheme="minorHAnsi" w:hAnsiTheme="minorHAnsi"/>
                <w:noProof/>
                <w:webHidden/>
              </w:rPr>
            </w:r>
            <w:r w:rsidRPr="00E3672D">
              <w:rPr>
                <w:rFonts w:asciiTheme="minorHAnsi" w:hAnsiTheme="minorHAnsi"/>
                <w:noProof/>
                <w:webHidden/>
              </w:rPr>
              <w:fldChar w:fldCharType="separate"/>
            </w:r>
            <w:r w:rsidRPr="00E3672D">
              <w:rPr>
                <w:rFonts w:asciiTheme="minorHAnsi" w:hAnsiTheme="minorHAnsi"/>
                <w:noProof/>
                <w:webHidden/>
              </w:rPr>
              <w:t>8</w:t>
            </w:r>
            <w:r w:rsidRPr="00E3672D">
              <w:rPr>
                <w:rFonts w:asciiTheme="minorHAnsi" w:hAnsiTheme="minorHAnsi"/>
                <w:noProof/>
                <w:webHidden/>
              </w:rPr>
              <w:fldChar w:fldCharType="end"/>
            </w:r>
          </w:hyperlink>
        </w:p>
        <w:p w14:paraId="64AD8DA0" w14:textId="68719D25" w:rsidR="00E3672D" w:rsidRPr="00E3672D" w:rsidRDefault="00E3672D">
          <w:pPr>
            <w:pStyle w:val="TOC2"/>
            <w:tabs>
              <w:tab w:val="right" w:leader="dot" w:pos="9016"/>
            </w:tabs>
            <w:rPr>
              <w:rFonts w:asciiTheme="minorHAnsi" w:eastAsiaTheme="minorEastAsia" w:hAnsiTheme="minorHAnsi" w:cstheme="minorBidi"/>
              <w:noProof/>
              <w:lang w:eastAsia="en-AU"/>
            </w:rPr>
          </w:pPr>
          <w:hyperlink w:anchor="_Toc204343557" w:history="1">
            <w:r w:rsidRPr="00E3672D">
              <w:rPr>
                <w:rStyle w:val="Hyperlink"/>
                <w:rFonts w:asciiTheme="minorHAnsi" w:hAnsiTheme="minorHAnsi"/>
                <w:noProof/>
              </w:rPr>
              <w:t>Focus Area 5: Align and integrate oral health across the health system</w:t>
            </w:r>
            <w:r w:rsidRPr="00E3672D">
              <w:rPr>
                <w:rFonts w:asciiTheme="minorHAnsi" w:hAnsiTheme="minorHAnsi"/>
                <w:noProof/>
                <w:webHidden/>
              </w:rPr>
              <w:tab/>
            </w:r>
            <w:r w:rsidRPr="00E3672D">
              <w:rPr>
                <w:rFonts w:asciiTheme="minorHAnsi" w:hAnsiTheme="minorHAnsi"/>
                <w:noProof/>
                <w:webHidden/>
              </w:rPr>
              <w:fldChar w:fldCharType="begin"/>
            </w:r>
            <w:r w:rsidRPr="00E3672D">
              <w:rPr>
                <w:rFonts w:asciiTheme="minorHAnsi" w:hAnsiTheme="minorHAnsi"/>
                <w:noProof/>
                <w:webHidden/>
              </w:rPr>
              <w:instrText xml:space="preserve"> PAGEREF _Toc204343557 \h </w:instrText>
            </w:r>
            <w:r w:rsidRPr="00E3672D">
              <w:rPr>
                <w:rFonts w:asciiTheme="minorHAnsi" w:hAnsiTheme="minorHAnsi"/>
                <w:noProof/>
                <w:webHidden/>
              </w:rPr>
            </w:r>
            <w:r w:rsidRPr="00E3672D">
              <w:rPr>
                <w:rFonts w:asciiTheme="minorHAnsi" w:hAnsiTheme="minorHAnsi"/>
                <w:noProof/>
                <w:webHidden/>
              </w:rPr>
              <w:fldChar w:fldCharType="separate"/>
            </w:r>
            <w:r w:rsidRPr="00E3672D">
              <w:rPr>
                <w:rFonts w:asciiTheme="minorHAnsi" w:hAnsiTheme="minorHAnsi"/>
                <w:noProof/>
                <w:webHidden/>
              </w:rPr>
              <w:t>9</w:t>
            </w:r>
            <w:r w:rsidRPr="00E3672D">
              <w:rPr>
                <w:rFonts w:asciiTheme="minorHAnsi" w:hAnsiTheme="minorHAnsi"/>
                <w:noProof/>
                <w:webHidden/>
              </w:rPr>
              <w:fldChar w:fldCharType="end"/>
            </w:r>
          </w:hyperlink>
        </w:p>
        <w:p w14:paraId="711F1FEB" w14:textId="315A4C66" w:rsidR="00E3672D" w:rsidRPr="00E3672D" w:rsidRDefault="00E3672D">
          <w:pPr>
            <w:pStyle w:val="TOC2"/>
            <w:tabs>
              <w:tab w:val="right" w:leader="dot" w:pos="9016"/>
            </w:tabs>
            <w:rPr>
              <w:rFonts w:asciiTheme="minorHAnsi" w:eastAsiaTheme="minorEastAsia" w:hAnsiTheme="minorHAnsi" w:cstheme="minorBidi"/>
              <w:noProof/>
              <w:lang w:eastAsia="en-AU"/>
            </w:rPr>
          </w:pPr>
          <w:hyperlink w:anchor="_Toc204343558" w:history="1">
            <w:r w:rsidRPr="00E3672D">
              <w:rPr>
                <w:rStyle w:val="Hyperlink"/>
                <w:rFonts w:asciiTheme="minorHAnsi" w:hAnsiTheme="minorHAnsi"/>
                <w:noProof/>
              </w:rPr>
              <w:t>Focus area 6: Support a sustainable and skilled oral health workforce</w:t>
            </w:r>
            <w:r w:rsidRPr="00E3672D">
              <w:rPr>
                <w:rFonts w:asciiTheme="minorHAnsi" w:hAnsiTheme="minorHAnsi"/>
                <w:noProof/>
                <w:webHidden/>
              </w:rPr>
              <w:tab/>
            </w:r>
            <w:r w:rsidRPr="00E3672D">
              <w:rPr>
                <w:rFonts w:asciiTheme="minorHAnsi" w:hAnsiTheme="minorHAnsi"/>
                <w:noProof/>
                <w:webHidden/>
              </w:rPr>
              <w:fldChar w:fldCharType="begin"/>
            </w:r>
            <w:r w:rsidRPr="00E3672D">
              <w:rPr>
                <w:rFonts w:asciiTheme="minorHAnsi" w:hAnsiTheme="minorHAnsi"/>
                <w:noProof/>
                <w:webHidden/>
              </w:rPr>
              <w:instrText xml:space="preserve"> PAGEREF _Toc204343558 \h </w:instrText>
            </w:r>
            <w:r w:rsidRPr="00E3672D">
              <w:rPr>
                <w:rFonts w:asciiTheme="minorHAnsi" w:hAnsiTheme="minorHAnsi"/>
                <w:noProof/>
                <w:webHidden/>
              </w:rPr>
            </w:r>
            <w:r w:rsidRPr="00E3672D">
              <w:rPr>
                <w:rFonts w:asciiTheme="minorHAnsi" w:hAnsiTheme="minorHAnsi"/>
                <w:noProof/>
                <w:webHidden/>
              </w:rPr>
              <w:fldChar w:fldCharType="separate"/>
            </w:r>
            <w:r w:rsidRPr="00E3672D">
              <w:rPr>
                <w:rFonts w:asciiTheme="minorHAnsi" w:hAnsiTheme="minorHAnsi"/>
                <w:noProof/>
                <w:webHidden/>
              </w:rPr>
              <w:t>10</w:t>
            </w:r>
            <w:r w:rsidRPr="00E3672D">
              <w:rPr>
                <w:rFonts w:asciiTheme="minorHAnsi" w:hAnsiTheme="minorHAnsi"/>
                <w:noProof/>
                <w:webHidden/>
              </w:rPr>
              <w:fldChar w:fldCharType="end"/>
            </w:r>
          </w:hyperlink>
        </w:p>
        <w:p w14:paraId="521870AF" w14:textId="3C72CB86" w:rsidR="00E3672D" w:rsidRPr="00E3672D" w:rsidRDefault="00E3672D">
          <w:pPr>
            <w:pStyle w:val="TOC2"/>
            <w:tabs>
              <w:tab w:val="right" w:leader="dot" w:pos="9016"/>
            </w:tabs>
            <w:rPr>
              <w:rFonts w:asciiTheme="minorHAnsi" w:eastAsiaTheme="minorEastAsia" w:hAnsiTheme="minorHAnsi" w:cstheme="minorBidi"/>
              <w:noProof/>
              <w:lang w:eastAsia="en-AU"/>
            </w:rPr>
          </w:pPr>
          <w:hyperlink w:anchor="_Toc204343559" w:history="1">
            <w:r w:rsidRPr="00E3672D">
              <w:rPr>
                <w:rStyle w:val="Hyperlink"/>
                <w:rFonts w:asciiTheme="minorHAnsi" w:hAnsiTheme="minorHAnsi"/>
                <w:noProof/>
              </w:rPr>
              <w:t>Focus area 7: Improve oral health research, and the collection, reporting and use of oral health data</w:t>
            </w:r>
            <w:r w:rsidRPr="00E3672D">
              <w:rPr>
                <w:rFonts w:asciiTheme="minorHAnsi" w:hAnsiTheme="minorHAnsi"/>
                <w:noProof/>
                <w:webHidden/>
              </w:rPr>
              <w:tab/>
            </w:r>
            <w:r w:rsidRPr="00E3672D">
              <w:rPr>
                <w:rFonts w:asciiTheme="minorHAnsi" w:hAnsiTheme="minorHAnsi"/>
                <w:noProof/>
                <w:webHidden/>
              </w:rPr>
              <w:fldChar w:fldCharType="begin"/>
            </w:r>
            <w:r w:rsidRPr="00E3672D">
              <w:rPr>
                <w:rFonts w:asciiTheme="minorHAnsi" w:hAnsiTheme="minorHAnsi"/>
                <w:noProof/>
                <w:webHidden/>
              </w:rPr>
              <w:instrText xml:space="preserve"> PAGEREF _Toc204343559 \h </w:instrText>
            </w:r>
            <w:r w:rsidRPr="00E3672D">
              <w:rPr>
                <w:rFonts w:asciiTheme="minorHAnsi" w:hAnsiTheme="minorHAnsi"/>
                <w:noProof/>
                <w:webHidden/>
              </w:rPr>
            </w:r>
            <w:r w:rsidRPr="00E3672D">
              <w:rPr>
                <w:rFonts w:asciiTheme="minorHAnsi" w:hAnsiTheme="minorHAnsi"/>
                <w:noProof/>
                <w:webHidden/>
              </w:rPr>
              <w:fldChar w:fldCharType="separate"/>
            </w:r>
            <w:r w:rsidRPr="00E3672D">
              <w:rPr>
                <w:rFonts w:asciiTheme="minorHAnsi" w:hAnsiTheme="minorHAnsi"/>
                <w:noProof/>
                <w:webHidden/>
              </w:rPr>
              <w:t>10</w:t>
            </w:r>
            <w:r w:rsidRPr="00E3672D">
              <w:rPr>
                <w:rFonts w:asciiTheme="minorHAnsi" w:hAnsiTheme="minorHAnsi"/>
                <w:noProof/>
                <w:webHidden/>
              </w:rPr>
              <w:fldChar w:fldCharType="end"/>
            </w:r>
          </w:hyperlink>
        </w:p>
        <w:p w14:paraId="1DEA3FC6" w14:textId="0EA7BC39" w:rsidR="00D12430" w:rsidRPr="00D12430" w:rsidRDefault="00D12430">
          <w:pPr>
            <w:rPr>
              <w:rFonts w:asciiTheme="minorHAnsi" w:hAnsiTheme="minorHAnsi"/>
            </w:rPr>
          </w:pPr>
          <w:r w:rsidRPr="00E3672D">
            <w:rPr>
              <w:rFonts w:asciiTheme="minorHAnsi" w:hAnsiTheme="minorHAnsi"/>
              <w:b/>
              <w:bCs/>
              <w:noProof/>
            </w:rPr>
            <w:fldChar w:fldCharType="end"/>
          </w:r>
        </w:p>
      </w:sdtContent>
    </w:sdt>
    <w:p w14:paraId="052262F4" w14:textId="77777777" w:rsidR="000A3E2A" w:rsidRPr="00D12430" w:rsidRDefault="000A3E2A" w:rsidP="00D12430">
      <w:pPr>
        <w:rPr>
          <w:rFonts w:asciiTheme="minorHAnsi" w:hAnsiTheme="minorHAnsi"/>
        </w:rPr>
      </w:pPr>
    </w:p>
    <w:p w14:paraId="53A47F5D" w14:textId="77777777" w:rsidR="000A3E2A" w:rsidRPr="00D12430" w:rsidRDefault="000A3E2A" w:rsidP="00D12430">
      <w:pPr>
        <w:rPr>
          <w:rFonts w:asciiTheme="minorHAnsi" w:hAnsiTheme="minorHAnsi"/>
        </w:rPr>
      </w:pPr>
    </w:p>
    <w:p w14:paraId="706D5868" w14:textId="3ECCB975" w:rsidR="00B73BFA" w:rsidRPr="00D12430" w:rsidRDefault="00B73BFA" w:rsidP="00D12430">
      <w:pPr>
        <w:pStyle w:val="Heading1"/>
      </w:pPr>
      <w:bookmarkStart w:id="0" w:name="_Toc204343546"/>
      <w:r w:rsidRPr="00D12430">
        <w:t>Purpose and scope of this paper</w:t>
      </w:r>
      <w:bookmarkEnd w:id="0"/>
    </w:p>
    <w:p w14:paraId="53223AC3" w14:textId="2F876CBE" w:rsidR="00FB2CE2" w:rsidRPr="00D12430" w:rsidRDefault="00FB2CE2" w:rsidP="00D12430">
      <w:pPr>
        <w:rPr>
          <w:rFonts w:asciiTheme="minorHAnsi" w:hAnsiTheme="minorHAnsi"/>
        </w:rPr>
      </w:pPr>
      <w:r w:rsidRPr="00D12430">
        <w:rPr>
          <w:rFonts w:asciiTheme="minorHAnsi" w:hAnsiTheme="minorHAnsi"/>
        </w:rPr>
        <w:t xml:space="preserve">This paper describes a draft framework that will form the building blocks for </w:t>
      </w:r>
      <w:r w:rsidR="00576083">
        <w:rPr>
          <w:rFonts w:asciiTheme="minorHAnsi" w:hAnsiTheme="minorHAnsi"/>
        </w:rPr>
        <w:t>a new</w:t>
      </w:r>
      <w:r w:rsidRPr="00D12430">
        <w:rPr>
          <w:rFonts w:asciiTheme="minorHAnsi" w:hAnsiTheme="minorHAnsi"/>
        </w:rPr>
        <w:t xml:space="preserve"> National Oral health Plan </w:t>
      </w:r>
      <w:r w:rsidR="00576083">
        <w:rPr>
          <w:rFonts w:asciiTheme="minorHAnsi" w:hAnsiTheme="minorHAnsi"/>
        </w:rPr>
        <w:t>(</w:t>
      </w:r>
      <w:r w:rsidRPr="00D12430">
        <w:rPr>
          <w:rFonts w:asciiTheme="minorHAnsi" w:hAnsiTheme="minorHAnsi"/>
        </w:rPr>
        <w:t>2025-2034</w:t>
      </w:r>
      <w:r w:rsidR="00576083">
        <w:rPr>
          <w:rFonts w:asciiTheme="minorHAnsi" w:hAnsiTheme="minorHAnsi"/>
        </w:rPr>
        <w:t>)</w:t>
      </w:r>
      <w:r w:rsidRPr="00D12430">
        <w:rPr>
          <w:rFonts w:asciiTheme="minorHAnsi" w:hAnsiTheme="minorHAnsi"/>
        </w:rPr>
        <w:t xml:space="preserve">. This framework </w:t>
      </w:r>
      <w:r w:rsidR="002B0C45">
        <w:rPr>
          <w:rFonts w:asciiTheme="minorHAnsi" w:hAnsiTheme="minorHAnsi"/>
        </w:rPr>
        <w:t>is</w:t>
      </w:r>
      <w:r w:rsidRPr="00D12430">
        <w:rPr>
          <w:rFonts w:asciiTheme="minorHAnsi" w:hAnsiTheme="minorHAnsi"/>
        </w:rPr>
        <w:t xml:space="preserve"> based on </w:t>
      </w:r>
      <w:r w:rsidR="000F609E">
        <w:rPr>
          <w:rFonts w:asciiTheme="minorHAnsi" w:hAnsiTheme="minorHAnsi"/>
        </w:rPr>
        <w:t xml:space="preserve">consultations </w:t>
      </w:r>
      <w:r w:rsidRPr="00D12430">
        <w:rPr>
          <w:rFonts w:asciiTheme="minorHAnsi" w:hAnsiTheme="minorHAnsi"/>
        </w:rPr>
        <w:t xml:space="preserve">with a diverse range of stakeholders and consumers, and examination of the existing National Oral Health Plan </w:t>
      </w:r>
      <w:r w:rsidR="00576083">
        <w:rPr>
          <w:rFonts w:asciiTheme="minorHAnsi" w:hAnsiTheme="minorHAnsi"/>
        </w:rPr>
        <w:t>(</w:t>
      </w:r>
      <w:r w:rsidRPr="00D12430">
        <w:rPr>
          <w:rFonts w:asciiTheme="minorHAnsi" w:hAnsiTheme="minorHAnsi"/>
        </w:rPr>
        <w:t>2015-2024</w:t>
      </w:r>
      <w:r w:rsidR="00576083">
        <w:rPr>
          <w:rFonts w:asciiTheme="minorHAnsi" w:hAnsiTheme="minorHAnsi"/>
        </w:rPr>
        <w:t>)</w:t>
      </w:r>
      <w:r w:rsidRPr="00D12430">
        <w:rPr>
          <w:rFonts w:asciiTheme="minorHAnsi" w:hAnsiTheme="minorHAnsi"/>
        </w:rPr>
        <w:t xml:space="preserve"> and related strategies. </w:t>
      </w:r>
    </w:p>
    <w:p w14:paraId="63351FA8" w14:textId="5FC39D9D" w:rsidR="00FB2CE2" w:rsidRPr="00D12430" w:rsidRDefault="00FB2CE2" w:rsidP="00D12430">
      <w:pPr>
        <w:rPr>
          <w:rFonts w:asciiTheme="minorHAnsi" w:hAnsiTheme="minorHAnsi"/>
        </w:rPr>
      </w:pPr>
      <w:r w:rsidRPr="00D12430">
        <w:rPr>
          <w:rFonts w:asciiTheme="minorHAnsi" w:hAnsiTheme="minorHAnsi"/>
        </w:rPr>
        <w:t xml:space="preserve">The aim of this public consultation is to gather your views on </w:t>
      </w:r>
      <w:r w:rsidR="00227D12">
        <w:rPr>
          <w:rFonts w:asciiTheme="minorHAnsi" w:hAnsiTheme="minorHAnsi"/>
        </w:rPr>
        <w:t>the</w:t>
      </w:r>
      <w:r w:rsidRPr="00D12430">
        <w:rPr>
          <w:rFonts w:asciiTheme="minorHAnsi" w:hAnsiTheme="minorHAnsi"/>
        </w:rPr>
        <w:t xml:space="preserve"> </w:t>
      </w:r>
      <w:r w:rsidR="00CE35C3">
        <w:rPr>
          <w:rFonts w:asciiTheme="minorHAnsi" w:hAnsiTheme="minorHAnsi"/>
        </w:rPr>
        <w:t xml:space="preserve">draft </w:t>
      </w:r>
      <w:r w:rsidRPr="00D12430">
        <w:rPr>
          <w:rFonts w:asciiTheme="minorHAnsi" w:hAnsiTheme="minorHAnsi"/>
        </w:rPr>
        <w:t xml:space="preserve">framework, to inform the development of the new Plan. We value your feedback on this framework. </w:t>
      </w:r>
    </w:p>
    <w:p w14:paraId="3DAFFB35" w14:textId="11BD37BB" w:rsidR="00B97999" w:rsidRPr="00D12430" w:rsidRDefault="00B72BDF" w:rsidP="00D12430">
      <w:pPr>
        <w:rPr>
          <w:rFonts w:asciiTheme="minorHAnsi" w:hAnsiTheme="minorHAnsi"/>
        </w:rPr>
      </w:pPr>
      <w:r w:rsidRPr="00984A81">
        <w:rPr>
          <w:rFonts w:asciiTheme="minorHAnsi" w:hAnsiTheme="minorHAnsi"/>
          <w:b/>
          <w:bCs/>
        </w:rPr>
        <w:t>What is this consultation for?</w:t>
      </w:r>
      <w:r w:rsidR="00B27313" w:rsidRPr="00D12430">
        <w:rPr>
          <w:rFonts w:asciiTheme="minorHAnsi" w:hAnsiTheme="minorHAnsi"/>
        </w:rPr>
        <w:t xml:space="preserve">  The federal, state and territory government </w:t>
      </w:r>
      <w:r w:rsidR="00B97999" w:rsidRPr="00D12430">
        <w:rPr>
          <w:rFonts w:asciiTheme="minorHAnsi" w:hAnsiTheme="minorHAnsi"/>
        </w:rPr>
        <w:t>Health Ministers have agreed that a new national plan should be developed for oral health, for the period 2025-2034.</w:t>
      </w:r>
      <w:r w:rsidR="00CD02ED" w:rsidRPr="00D12430">
        <w:rPr>
          <w:rFonts w:asciiTheme="minorHAnsi" w:hAnsiTheme="minorHAnsi"/>
        </w:rPr>
        <w:t xml:space="preserve"> </w:t>
      </w:r>
      <w:r w:rsidR="00A80E92">
        <w:rPr>
          <w:rFonts w:asciiTheme="minorHAnsi" w:hAnsiTheme="minorHAnsi"/>
        </w:rPr>
        <w:t xml:space="preserve">We want </w:t>
      </w:r>
      <w:r w:rsidR="00A84F08">
        <w:rPr>
          <w:rFonts w:asciiTheme="minorHAnsi" w:hAnsiTheme="minorHAnsi"/>
        </w:rPr>
        <w:t>your feedback</w:t>
      </w:r>
      <w:r w:rsidR="00CD02ED" w:rsidRPr="00D12430">
        <w:rPr>
          <w:rFonts w:asciiTheme="minorHAnsi" w:hAnsiTheme="minorHAnsi"/>
        </w:rPr>
        <w:t xml:space="preserve"> on the draft framework for the new plan</w:t>
      </w:r>
      <w:r w:rsidR="00C37EB3" w:rsidRPr="00D12430">
        <w:rPr>
          <w:rFonts w:asciiTheme="minorHAnsi" w:hAnsiTheme="minorHAnsi"/>
        </w:rPr>
        <w:t xml:space="preserve">, to </w:t>
      </w:r>
      <w:r w:rsidR="00A80E92">
        <w:rPr>
          <w:rFonts w:asciiTheme="minorHAnsi" w:hAnsiTheme="minorHAnsi"/>
        </w:rPr>
        <w:t>help us get</w:t>
      </w:r>
      <w:r w:rsidR="00C37EB3" w:rsidRPr="00D12430">
        <w:rPr>
          <w:rFonts w:asciiTheme="minorHAnsi" w:hAnsiTheme="minorHAnsi"/>
        </w:rPr>
        <w:t xml:space="preserve"> the new Plan</w:t>
      </w:r>
      <w:r w:rsidR="00A80E92">
        <w:rPr>
          <w:rFonts w:asciiTheme="minorHAnsi" w:hAnsiTheme="minorHAnsi"/>
        </w:rPr>
        <w:t xml:space="preserve"> right</w:t>
      </w:r>
      <w:r w:rsidR="00CD02ED" w:rsidRPr="00D12430">
        <w:rPr>
          <w:rFonts w:asciiTheme="minorHAnsi" w:hAnsiTheme="minorHAnsi"/>
        </w:rPr>
        <w:t>.</w:t>
      </w:r>
    </w:p>
    <w:p w14:paraId="4ACEF122" w14:textId="2FC60002" w:rsidR="00F776AB" w:rsidRPr="00D12430" w:rsidRDefault="00382853" w:rsidP="00D12430">
      <w:pPr>
        <w:rPr>
          <w:rFonts w:asciiTheme="minorHAnsi" w:hAnsiTheme="minorHAnsi"/>
        </w:rPr>
      </w:pPr>
      <w:r w:rsidRPr="00984A81">
        <w:rPr>
          <w:rFonts w:asciiTheme="minorHAnsi" w:hAnsiTheme="minorHAnsi"/>
          <w:b/>
          <w:bCs/>
        </w:rPr>
        <w:lastRenderedPageBreak/>
        <w:t>Do we have a national oral health plan?</w:t>
      </w:r>
      <w:r w:rsidRPr="00D12430">
        <w:rPr>
          <w:rFonts w:asciiTheme="minorHAnsi" w:hAnsiTheme="minorHAnsi"/>
        </w:rPr>
        <w:t xml:space="preserve"> Yes, the current national oral health plan can be read here: </w:t>
      </w:r>
      <w:hyperlink r:id="rId11" w:history="1">
        <w:r w:rsidR="00F776AB" w:rsidRPr="00D12430">
          <w:rPr>
            <w:rStyle w:val="Hyperlink"/>
            <w:rFonts w:asciiTheme="minorHAnsi" w:hAnsiTheme="minorHAnsi" w:cs="Arial"/>
          </w:rPr>
          <w:t>Australia's National oral Health Plan 2015-2024</w:t>
        </w:r>
      </w:hyperlink>
    </w:p>
    <w:p w14:paraId="329F9D7E" w14:textId="78BCEF25" w:rsidR="00CE28D1" w:rsidRPr="00A84F08" w:rsidRDefault="00F776AB" w:rsidP="00D12430">
      <w:pPr>
        <w:rPr>
          <w:rFonts w:asciiTheme="minorHAnsi" w:hAnsiTheme="minorHAnsi"/>
          <w:b/>
          <w:bCs/>
        </w:rPr>
      </w:pPr>
      <w:r w:rsidRPr="00984A81">
        <w:rPr>
          <w:rFonts w:asciiTheme="minorHAnsi" w:hAnsiTheme="minorHAnsi"/>
          <w:b/>
          <w:bCs/>
        </w:rPr>
        <w:t xml:space="preserve">Why do we need a new plan? </w:t>
      </w:r>
      <w:r w:rsidR="00817E77" w:rsidRPr="00D12430">
        <w:rPr>
          <w:rFonts w:asciiTheme="minorHAnsi" w:hAnsiTheme="minorHAnsi"/>
        </w:rPr>
        <w:t>Although most oral disease is preventable,</w:t>
      </w:r>
      <w:r w:rsidR="009C7E62" w:rsidRPr="00D12430">
        <w:rPr>
          <w:rFonts w:asciiTheme="minorHAnsi" w:hAnsiTheme="minorHAnsi"/>
        </w:rPr>
        <w:t xml:space="preserve"> many</w:t>
      </w:r>
      <w:r w:rsidR="00817E77" w:rsidRPr="00D12430">
        <w:rPr>
          <w:rFonts w:asciiTheme="minorHAnsi" w:hAnsiTheme="minorHAnsi"/>
        </w:rPr>
        <w:t xml:space="preserve"> Australians continue to have poor oral health outcomes</w:t>
      </w:r>
      <w:r w:rsidR="00781EB5" w:rsidRPr="00D12430">
        <w:rPr>
          <w:rFonts w:asciiTheme="minorHAnsi" w:hAnsiTheme="minorHAnsi"/>
        </w:rPr>
        <w:t xml:space="preserve">. </w:t>
      </w:r>
    </w:p>
    <w:p w14:paraId="514FF6D9" w14:textId="7AB23F79" w:rsidR="00F776AB" w:rsidRPr="00D12430" w:rsidRDefault="00302B6D" w:rsidP="00D12430">
      <w:pPr>
        <w:rPr>
          <w:rFonts w:asciiTheme="minorHAnsi" w:hAnsiTheme="minorHAnsi"/>
        </w:rPr>
      </w:pPr>
      <w:r w:rsidRPr="00D12430">
        <w:rPr>
          <w:rFonts w:asciiTheme="minorHAnsi" w:hAnsiTheme="minorHAnsi"/>
        </w:rPr>
        <w:t xml:space="preserve">In </w:t>
      </w:r>
      <w:r w:rsidR="008A0EDF" w:rsidRPr="00D12430">
        <w:rPr>
          <w:rFonts w:asciiTheme="minorHAnsi" w:hAnsiTheme="minorHAnsi"/>
        </w:rPr>
        <w:t>202</w:t>
      </w:r>
      <w:r w:rsidR="00713335" w:rsidRPr="00D12430">
        <w:rPr>
          <w:rFonts w:asciiTheme="minorHAnsi" w:hAnsiTheme="minorHAnsi"/>
        </w:rPr>
        <w:t xml:space="preserve">1 and 2022, Australia </w:t>
      </w:r>
      <w:r w:rsidR="00590436" w:rsidRPr="00D12430">
        <w:rPr>
          <w:rFonts w:asciiTheme="minorHAnsi" w:hAnsiTheme="minorHAnsi"/>
        </w:rPr>
        <w:t>entered into two international agreements</w:t>
      </w:r>
      <w:r w:rsidR="0079574F" w:rsidRPr="00D12430">
        <w:rPr>
          <w:rFonts w:asciiTheme="minorHAnsi" w:hAnsiTheme="minorHAnsi"/>
        </w:rPr>
        <w:t xml:space="preserve"> relevant to national oral health planning</w:t>
      </w:r>
      <w:r w:rsidR="00781EB5" w:rsidRPr="00D12430">
        <w:rPr>
          <w:rFonts w:asciiTheme="minorHAnsi" w:hAnsiTheme="minorHAnsi"/>
        </w:rPr>
        <w:t xml:space="preserve">: </w:t>
      </w:r>
    </w:p>
    <w:p w14:paraId="7F583B7A" w14:textId="183FA7E7" w:rsidR="009C7E62" w:rsidRPr="00984A81" w:rsidRDefault="00020A06" w:rsidP="00984A81">
      <w:pPr>
        <w:pStyle w:val="ListParagraph"/>
        <w:numPr>
          <w:ilvl w:val="0"/>
          <w:numId w:val="27"/>
        </w:numPr>
        <w:rPr>
          <w:rFonts w:asciiTheme="minorHAnsi" w:hAnsiTheme="minorHAnsi"/>
        </w:rPr>
      </w:pPr>
      <w:hyperlink r:id="rId12" w:history="1">
        <w:r w:rsidRPr="00984A81">
          <w:rPr>
            <w:rStyle w:val="Hyperlink"/>
            <w:rFonts w:asciiTheme="minorHAnsi" w:hAnsiTheme="minorHAnsi" w:cs="Arial"/>
          </w:rPr>
          <w:t>World Health Organization Global Strategy and Action Plan on Oral Health</w:t>
        </w:r>
      </w:hyperlink>
    </w:p>
    <w:p w14:paraId="09ED8C92" w14:textId="1CCD3549" w:rsidR="00020A06" w:rsidRPr="00984A81" w:rsidRDefault="003579FA" w:rsidP="00984A81">
      <w:pPr>
        <w:pStyle w:val="ListParagraph"/>
        <w:numPr>
          <w:ilvl w:val="0"/>
          <w:numId w:val="27"/>
        </w:numPr>
        <w:rPr>
          <w:rFonts w:asciiTheme="minorHAnsi" w:hAnsiTheme="minorHAnsi"/>
        </w:rPr>
      </w:pPr>
      <w:hyperlink r:id="rId13" w:history="1">
        <w:r w:rsidRPr="00984A81">
          <w:rPr>
            <w:rStyle w:val="Hyperlink"/>
            <w:rFonts w:asciiTheme="minorHAnsi" w:hAnsiTheme="minorHAnsi" w:cs="Arial"/>
          </w:rPr>
          <w:t>United Nations Minamata Convention on Mercury</w:t>
        </w:r>
      </w:hyperlink>
    </w:p>
    <w:p w14:paraId="2CFE844F" w14:textId="2EBC7271" w:rsidR="002F4E80" w:rsidRPr="00ED1300" w:rsidRDefault="002F4E80" w:rsidP="00D12430">
      <w:pPr>
        <w:rPr>
          <w:rFonts w:asciiTheme="minorHAnsi" w:hAnsiTheme="minorHAnsi"/>
          <w:b/>
          <w:bCs/>
        </w:rPr>
      </w:pPr>
      <w:r w:rsidRPr="0039662C">
        <w:rPr>
          <w:rFonts w:asciiTheme="minorHAnsi" w:hAnsiTheme="minorHAnsi"/>
          <w:b/>
          <w:bCs/>
        </w:rPr>
        <w:t>What is in the survey?</w:t>
      </w:r>
      <w:r w:rsidR="00ED1300">
        <w:rPr>
          <w:rFonts w:asciiTheme="minorHAnsi" w:hAnsiTheme="minorHAnsi"/>
          <w:b/>
          <w:bCs/>
        </w:rPr>
        <w:t xml:space="preserve"> </w:t>
      </w:r>
      <w:r w:rsidRPr="00D12430">
        <w:rPr>
          <w:rFonts w:asciiTheme="minorHAnsi" w:hAnsiTheme="minorHAnsi"/>
        </w:rPr>
        <w:t xml:space="preserve">The survey asks a series of questions including: </w:t>
      </w:r>
    </w:p>
    <w:p w14:paraId="4B3DD00F" w14:textId="7F7A5043" w:rsidR="00404D68" w:rsidRPr="0039662C" w:rsidRDefault="00570A8C" w:rsidP="0039662C">
      <w:pPr>
        <w:pStyle w:val="ListParagraph"/>
        <w:numPr>
          <w:ilvl w:val="0"/>
          <w:numId w:val="28"/>
        </w:numPr>
        <w:rPr>
          <w:rFonts w:asciiTheme="minorHAnsi" w:hAnsiTheme="minorHAnsi"/>
        </w:rPr>
      </w:pPr>
      <w:r w:rsidRPr="0039662C">
        <w:rPr>
          <w:rFonts w:asciiTheme="minorHAnsi" w:hAnsiTheme="minorHAnsi"/>
        </w:rPr>
        <w:t>Some questions</w:t>
      </w:r>
      <w:r w:rsidR="00AF27CA" w:rsidRPr="0039662C">
        <w:rPr>
          <w:rFonts w:asciiTheme="minorHAnsi" w:hAnsiTheme="minorHAnsi"/>
        </w:rPr>
        <w:t xml:space="preserve"> </w:t>
      </w:r>
      <w:r w:rsidR="00480CEF">
        <w:rPr>
          <w:rFonts w:asciiTheme="minorHAnsi" w:hAnsiTheme="minorHAnsi"/>
        </w:rPr>
        <w:t xml:space="preserve">about </w:t>
      </w:r>
      <w:r w:rsidR="00525ED1">
        <w:rPr>
          <w:rFonts w:asciiTheme="minorHAnsi" w:hAnsiTheme="minorHAnsi"/>
        </w:rPr>
        <w:t>you</w:t>
      </w:r>
      <w:r w:rsidR="0020464E">
        <w:rPr>
          <w:rFonts w:asciiTheme="minorHAnsi" w:hAnsiTheme="minorHAnsi"/>
        </w:rPr>
        <w:t xml:space="preserve"> </w:t>
      </w:r>
      <w:r w:rsidR="00D55967" w:rsidRPr="0039662C">
        <w:rPr>
          <w:rFonts w:asciiTheme="minorHAnsi" w:hAnsiTheme="minorHAnsi"/>
        </w:rPr>
        <w:t xml:space="preserve">– </w:t>
      </w:r>
      <w:r w:rsidR="00404D68" w:rsidRPr="0039662C">
        <w:rPr>
          <w:rFonts w:asciiTheme="minorHAnsi" w:hAnsiTheme="minorHAnsi"/>
        </w:rPr>
        <w:t xml:space="preserve">this will </w:t>
      </w:r>
      <w:r w:rsidR="000E7F83">
        <w:rPr>
          <w:rFonts w:asciiTheme="minorHAnsi" w:hAnsiTheme="minorHAnsi"/>
        </w:rPr>
        <w:t>guide</w:t>
      </w:r>
      <w:r w:rsidR="00404D68" w:rsidRPr="0039662C">
        <w:rPr>
          <w:rFonts w:asciiTheme="minorHAnsi" w:hAnsiTheme="minorHAnsi"/>
        </w:rPr>
        <w:t xml:space="preserve"> the questions you are asked later</w:t>
      </w:r>
      <w:r w:rsidR="00480CEF">
        <w:rPr>
          <w:rFonts w:asciiTheme="minorHAnsi" w:hAnsiTheme="minorHAnsi"/>
        </w:rPr>
        <w:t xml:space="preserve"> and help us understand your answers</w:t>
      </w:r>
      <w:r w:rsidR="00404D68" w:rsidRPr="0039662C">
        <w:rPr>
          <w:rFonts w:asciiTheme="minorHAnsi" w:hAnsiTheme="minorHAnsi"/>
        </w:rPr>
        <w:t>.</w:t>
      </w:r>
    </w:p>
    <w:p w14:paraId="4086AAAF" w14:textId="2DD7D9F2" w:rsidR="00F44998" w:rsidRPr="0039662C" w:rsidRDefault="00655073" w:rsidP="0039662C">
      <w:pPr>
        <w:pStyle w:val="ListParagraph"/>
        <w:numPr>
          <w:ilvl w:val="0"/>
          <w:numId w:val="28"/>
        </w:numPr>
        <w:rPr>
          <w:rFonts w:asciiTheme="minorHAnsi" w:hAnsiTheme="minorHAnsi"/>
        </w:rPr>
      </w:pPr>
      <w:r w:rsidRPr="0039662C">
        <w:rPr>
          <w:rFonts w:asciiTheme="minorHAnsi" w:hAnsiTheme="minorHAnsi"/>
        </w:rPr>
        <w:t xml:space="preserve">Your views </w:t>
      </w:r>
      <w:r w:rsidR="0097113A" w:rsidRPr="0039662C">
        <w:rPr>
          <w:rFonts w:asciiTheme="minorHAnsi" w:hAnsiTheme="minorHAnsi"/>
        </w:rPr>
        <w:t xml:space="preserve">on oral health in Australia - </w:t>
      </w:r>
      <w:r w:rsidRPr="0039662C">
        <w:rPr>
          <w:rFonts w:asciiTheme="minorHAnsi" w:hAnsiTheme="minorHAnsi"/>
        </w:rPr>
        <w:t>strengths, weaknesses and changes you would like</w:t>
      </w:r>
      <w:r w:rsidR="0097113A" w:rsidRPr="0039662C">
        <w:rPr>
          <w:rFonts w:asciiTheme="minorHAnsi" w:hAnsiTheme="minorHAnsi"/>
        </w:rPr>
        <w:t>.</w:t>
      </w:r>
    </w:p>
    <w:p w14:paraId="6E253A9B" w14:textId="352AC737" w:rsidR="0097113A" w:rsidRPr="0039662C" w:rsidRDefault="002E08B5" w:rsidP="0039662C">
      <w:pPr>
        <w:pStyle w:val="ListParagraph"/>
        <w:numPr>
          <w:ilvl w:val="0"/>
          <w:numId w:val="28"/>
        </w:numPr>
        <w:rPr>
          <w:rFonts w:asciiTheme="minorHAnsi" w:hAnsiTheme="minorHAnsi"/>
        </w:rPr>
      </w:pPr>
      <w:r w:rsidRPr="0039662C">
        <w:rPr>
          <w:rFonts w:asciiTheme="minorHAnsi" w:hAnsiTheme="minorHAnsi"/>
        </w:rPr>
        <w:t xml:space="preserve">Your views on </w:t>
      </w:r>
      <w:r w:rsidR="002A410D" w:rsidRPr="0039662C">
        <w:rPr>
          <w:rFonts w:asciiTheme="minorHAnsi" w:hAnsiTheme="minorHAnsi"/>
        </w:rPr>
        <w:t>the vision statement</w:t>
      </w:r>
      <w:r w:rsidR="003A4978" w:rsidRPr="0039662C">
        <w:rPr>
          <w:rFonts w:asciiTheme="minorHAnsi" w:hAnsiTheme="minorHAnsi"/>
        </w:rPr>
        <w:t xml:space="preserve"> and</w:t>
      </w:r>
      <w:r w:rsidR="002A410D" w:rsidRPr="0039662C">
        <w:rPr>
          <w:rFonts w:asciiTheme="minorHAnsi" w:hAnsiTheme="minorHAnsi"/>
        </w:rPr>
        <w:t xml:space="preserve"> principles </w:t>
      </w:r>
      <w:r w:rsidR="003A4978" w:rsidRPr="0039662C">
        <w:rPr>
          <w:rFonts w:asciiTheme="minorHAnsi" w:hAnsiTheme="minorHAnsi"/>
        </w:rPr>
        <w:t>that underpin the</w:t>
      </w:r>
      <w:r w:rsidR="002A410D" w:rsidRPr="0039662C">
        <w:rPr>
          <w:rFonts w:asciiTheme="minorHAnsi" w:hAnsiTheme="minorHAnsi"/>
        </w:rPr>
        <w:t xml:space="preserve"> </w:t>
      </w:r>
      <w:r w:rsidR="0081245A" w:rsidRPr="0039662C">
        <w:rPr>
          <w:rFonts w:asciiTheme="minorHAnsi" w:hAnsiTheme="minorHAnsi"/>
        </w:rPr>
        <w:t>framework.</w:t>
      </w:r>
    </w:p>
    <w:p w14:paraId="696209DF" w14:textId="28C29B13" w:rsidR="0002378D" w:rsidRPr="0039662C" w:rsidRDefault="0081245A" w:rsidP="0039662C">
      <w:pPr>
        <w:pStyle w:val="ListParagraph"/>
        <w:numPr>
          <w:ilvl w:val="0"/>
          <w:numId w:val="28"/>
        </w:numPr>
        <w:rPr>
          <w:rFonts w:asciiTheme="minorHAnsi" w:hAnsiTheme="minorHAnsi"/>
        </w:rPr>
      </w:pPr>
      <w:r w:rsidRPr="0039662C">
        <w:rPr>
          <w:rFonts w:asciiTheme="minorHAnsi" w:hAnsiTheme="minorHAnsi"/>
        </w:rPr>
        <w:t xml:space="preserve">Your views on each of the </w:t>
      </w:r>
      <w:r w:rsidR="00D12915">
        <w:rPr>
          <w:rFonts w:asciiTheme="minorHAnsi" w:hAnsiTheme="minorHAnsi"/>
        </w:rPr>
        <w:t xml:space="preserve">7 </w:t>
      </w:r>
      <w:r w:rsidRPr="0039662C">
        <w:rPr>
          <w:rFonts w:asciiTheme="minorHAnsi" w:hAnsiTheme="minorHAnsi"/>
        </w:rPr>
        <w:t xml:space="preserve">focus areas and their outcomes. </w:t>
      </w:r>
    </w:p>
    <w:p w14:paraId="76E1D511" w14:textId="7C356905" w:rsidR="000B3EBE" w:rsidRPr="00753F05" w:rsidRDefault="009D0B9E" w:rsidP="00D12430">
      <w:pPr>
        <w:rPr>
          <w:rFonts w:asciiTheme="minorHAnsi" w:hAnsiTheme="minorHAnsi"/>
          <w:b/>
          <w:bCs/>
        </w:rPr>
      </w:pPr>
      <w:r w:rsidRPr="0039662C">
        <w:rPr>
          <w:rFonts w:asciiTheme="minorHAnsi" w:hAnsiTheme="minorHAnsi"/>
          <w:b/>
          <w:bCs/>
        </w:rPr>
        <w:t xml:space="preserve">How has the draft framework for the new plan been developed? </w:t>
      </w:r>
      <w:r w:rsidR="000B3EBE" w:rsidRPr="00D12430">
        <w:rPr>
          <w:rFonts w:asciiTheme="minorHAnsi" w:hAnsiTheme="minorHAnsi"/>
        </w:rPr>
        <w:t xml:space="preserve">All governments are partners in developing the new plan. The Australian Government Department of Health, Disability and Ageing is leading consultations. </w:t>
      </w:r>
    </w:p>
    <w:p w14:paraId="04E4703A" w14:textId="77777777" w:rsidR="0039662C" w:rsidRDefault="000B3EBE" w:rsidP="00D12430">
      <w:pPr>
        <w:rPr>
          <w:rFonts w:asciiTheme="minorHAnsi" w:hAnsiTheme="minorHAnsi"/>
        </w:rPr>
      </w:pPr>
      <w:r w:rsidRPr="00D12430">
        <w:rPr>
          <w:rFonts w:asciiTheme="minorHAnsi" w:hAnsiTheme="minorHAnsi"/>
        </w:rPr>
        <w:t xml:space="preserve">The Plan is being developed in two phases: </w:t>
      </w:r>
    </w:p>
    <w:p w14:paraId="50B7DEB1" w14:textId="36344259" w:rsidR="000B3EBE" w:rsidRPr="0039662C" w:rsidRDefault="000B3EBE" w:rsidP="0039662C">
      <w:pPr>
        <w:pStyle w:val="ListParagraph"/>
        <w:numPr>
          <w:ilvl w:val="0"/>
          <w:numId w:val="29"/>
        </w:numPr>
        <w:rPr>
          <w:rFonts w:asciiTheme="minorHAnsi" w:hAnsiTheme="minorHAnsi"/>
        </w:rPr>
      </w:pPr>
      <w:r w:rsidRPr="0039662C">
        <w:rPr>
          <w:rFonts w:asciiTheme="minorHAnsi" w:hAnsiTheme="minorHAnsi"/>
        </w:rPr>
        <w:t xml:space="preserve">Phase 1 </w:t>
      </w:r>
      <w:r w:rsidR="00126B64">
        <w:rPr>
          <w:rFonts w:asciiTheme="minorHAnsi" w:hAnsiTheme="minorHAnsi"/>
        </w:rPr>
        <w:t>consulted key stakeholders</w:t>
      </w:r>
      <w:r w:rsidRPr="0039662C">
        <w:rPr>
          <w:rFonts w:asciiTheme="minorHAnsi" w:hAnsiTheme="minorHAnsi"/>
        </w:rPr>
        <w:t xml:space="preserve">, as well as an examination of the current National Oral Health Plan, to develop a framework for the Plan. </w:t>
      </w:r>
    </w:p>
    <w:p w14:paraId="38E70D55" w14:textId="5DCDCD36" w:rsidR="000B3EBE" w:rsidRPr="0039662C" w:rsidRDefault="000B3EBE" w:rsidP="0039662C">
      <w:pPr>
        <w:pStyle w:val="ListParagraph"/>
        <w:numPr>
          <w:ilvl w:val="0"/>
          <w:numId w:val="29"/>
        </w:numPr>
        <w:rPr>
          <w:rFonts w:asciiTheme="minorHAnsi" w:hAnsiTheme="minorHAnsi"/>
        </w:rPr>
      </w:pPr>
      <w:r w:rsidRPr="0039662C">
        <w:rPr>
          <w:rFonts w:asciiTheme="minorHAnsi" w:hAnsiTheme="minorHAnsi"/>
        </w:rPr>
        <w:t xml:space="preserve">Phase 2 will result in a fully developed Plan, incorporating feedback from this consultation process. </w:t>
      </w:r>
    </w:p>
    <w:p w14:paraId="12F75856" w14:textId="77777777" w:rsidR="000B3EBE" w:rsidRPr="00D12430" w:rsidRDefault="000B3EBE" w:rsidP="00D12430">
      <w:pPr>
        <w:rPr>
          <w:rFonts w:asciiTheme="minorHAnsi" w:hAnsiTheme="minorHAnsi"/>
        </w:rPr>
      </w:pPr>
      <w:r w:rsidRPr="00D12430">
        <w:rPr>
          <w:rFonts w:asciiTheme="minorHAnsi" w:hAnsiTheme="minorHAnsi"/>
        </w:rPr>
        <w:t xml:space="preserve">The Plan is being developed using feedback and guidance from a range of sources, including: </w:t>
      </w:r>
    </w:p>
    <w:p w14:paraId="3604A8A5" w14:textId="77777777" w:rsidR="000B3EBE" w:rsidRPr="00D12430" w:rsidRDefault="000B3EBE" w:rsidP="00D12430">
      <w:pPr>
        <w:rPr>
          <w:rFonts w:asciiTheme="minorHAnsi" w:hAnsiTheme="minorHAnsi"/>
        </w:rPr>
      </w:pPr>
      <w:r w:rsidRPr="00D12430">
        <w:rPr>
          <w:rFonts w:asciiTheme="minorHAnsi" w:hAnsiTheme="minorHAnsi"/>
          <w:noProof/>
        </w:rPr>
        <w:drawing>
          <wp:inline distT="0" distB="0" distL="0" distR="0" wp14:anchorId="5C70B171" wp14:editId="5375472F">
            <wp:extent cx="5219700" cy="2571750"/>
            <wp:effectExtent l="0" t="0" r="19050" b="19050"/>
            <wp:docPr id="1420428842" name="Diagram 1" descr="Diagram describing that building the plan has involved focus groups with Aboriginal and Torres Strait Islander consumers and oral health providers, targeted consultations with a diverse range of stakeholders, analysis of relevant strategies, action plans and frameworks, and advice from the Governance Group overseeing the Plan's developmen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B399183" w14:textId="349CE2D7" w:rsidR="000B3EBE" w:rsidRPr="00D12430" w:rsidRDefault="005E59FE" w:rsidP="00D12430">
      <w:pPr>
        <w:rPr>
          <w:rFonts w:asciiTheme="minorHAnsi" w:hAnsiTheme="minorHAnsi"/>
        </w:rPr>
      </w:pPr>
      <w:r w:rsidRPr="004D5CFC">
        <w:rPr>
          <w:rFonts w:asciiTheme="minorHAnsi" w:hAnsiTheme="minorHAnsi"/>
          <w:b/>
          <w:bCs/>
        </w:rPr>
        <w:lastRenderedPageBreak/>
        <w:t>F</w:t>
      </w:r>
      <w:r w:rsidR="000B3EBE" w:rsidRPr="004D5CFC">
        <w:rPr>
          <w:rFonts w:asciiTheme="minorHAnsi" w:hAnsiTheme="minorHAnsi"/>
          <w:b/>
          <w:bCs/>
        </w:rPr>
        <w:t xml:space="preserve">ocus groups with Aboriginal and Torres Strait Islander consumers and oral health providers </w:t>
      </w:r>
      <w:r w:rsidR="000B3EBE" w:rsidRPr="00D12430">
        <w:rPr>
          <w:rFonts w:asciiTheme="minorHAnsi" w:hAnsiTheme="minorHAnsi"/>
        </w:rPr>
        <w:t xml:space="preserve">about what’s important for First Nations oral health and what should be in the Plan. These consultations </w:t>
      </w:r>
      <w:r w:rsidR="00FB6650" w:rsidRPr="00D12430">
        <w:rPr>
          <w:rFonts w:asciiTheme="minorHAnsi" w:hAnsiTheme="minorHAnsi"/>
        </w:rPr>
        <w:t xml:space="preserve">are underway, conducted by an </w:t>
      </w:r>
      <w:r w:rsidR="000B3EBE" w:rsidRPr="00D12430">
        <w:rPr>
          <w:rFonts w:asciiTheme="minorHAnsi" w:hAnsiTheme="minorHAnsi"/>
        </w:rPr>
        <w:t>independent facilitator, First Nations Health Consulting.</w:t>
      </w:r>
    </w:p>
    <w:p w14:paraId="7C58EA77" w14:textId="7519982F" w:rsidR="00E0521D" w:rsidRPr="00D12430" w:rsidRDefault="000B3EBE" w:rsidP="00D12430">
      <w:pPr>
        <w:rPr>
          <w:rFonts w:asciiTheme="minorHAnsi" w:hAnsiTheme="minorHAnsi"/>
        </w:rPr>
      </w:pPr>
      <w:r w:rsidRPr="004D5CFC">
        <w:rPr>
          <w:rFonts w:asciiTheme="minorHAnsi" w:hAnsiTheme="minorHAnsi"/>
          <w:b/>
          <w:bCs/>
        </w:rPr>
        <w:t>Targeted consultations with a diverse range of stakeholders</w:t>
      </w:r>
      <w:r w:rsidR="00E0521D" w:rsidRPr="00D12430">
        <w:rPr>
          <w:rFonts w:asciiTheme="minorHAnsi" w:hAnsiTheme="minorHAnsi"/>
        </w:rPr>
        <w:t xml:space="preserve"> including:</w:t>
      </w:r>
    </w:p>
    <w:p w14:paraId="4D5F8E92" w14:textId="49A8F218" w:rsidR="00FB6650" w:rsidRPr="0039662C" w:rsidRDefault="00E336B1" w:rsidP="0039662C">
      <w:pPr>
        <w:pStyle w:val="ListParagraph"/>
        <w:numPr>
          <w:ilvl w:val="0"/>
          <w:numId w:val="30"/>
        </w:numPr>
        <w:rPr>
          <w:rFonts w:asciiTheme="minorHAnsi" w:hAnsiTheme="minorHAnsi"/>
        </w:rPr>
      </w:pPr>
      <w:r w:rsidRPr="0039662C">
        <w:rPr>
          <w:rFonts w:asciiTheme="minorHAnsi" w:hAnsiTheme="minorHAnsi"/>
        </w:rPr>
        <w:t>P</w:t>
      </w:r>
      <w:r w:rsidR="00FB6650" w:rsidRPr="0039662C">
        <w:rPr>
          <w:rFonts w:asciiTheme="minorHAnsi" w:hAnsiTheme="minorHAnsi"/>
        </w:rPr>
        <w:t xml:space="preserve">eak bodies for </w:t>
      </w:r>
      <w:r w:rsidR="00212FA6">
        <w:rPr>
          <w:rFonts w:asciiTheme="minorHAnsi" w:hAnsiTheme="minorHAnsi"/>
        </w:rPr>
        <w:t>dental</w:t>
      </w:r>
      <w:r w:rsidR="00FB6650" w:rsidRPr="0039662C">
        <w:rPr>
          <w:rFonts w:asciiTheme="minorHAnsi" w:hAnsiTheme="minorHAnsi"/>
        </w:rPr>
        <w:t xml:space="preserve"> practitioners (dentists, dental hygienists, dental therapists, oral health therapists, and </w:t>
      </w:r>
      <w:r w:rsidR="00CD7378">
        <w:rPr>
          <w:rFonts w:asciiTheme="minorHAnsi" w:hAnsiTheme="minorHAnsi"/>
        </w:rPr>
        <w:t>dental prosthe</w:t>
      </w:r>
      <w:r w:rsidR="001C00C1">
        <w:rPr>
          <w:rFonts w:asciiTheme="minorHAnsi" w:hAnsiTheme="minorHAnsi"/>
        </w:rPr>
        <w:t>tists), dental assistants and dental technicians</w:t>
      </w:r>
      <w:r w:rsidRPr="0039662C">
        <w:rPr>
          <w:rFonts w:asciiTheme="minorHAnsi" w:hAnsiTheme="minorHAnsi"/>
        </w:rPr>
        <w:t>.</w:t>
      </w:r>
      <w:r w:rsidR="00FB6650" w:rsidRPr="0039662C">
        <w:rPr>
          <w:rFonts w:asciiTheme="minorHAnsi" w:hAnsiTheme="minorHAnsi"/>
        </w:rPr>
        <w:t xml:space="preserve"> </w:t>
      </w:r>
    </w:p>
    <w:p w14:paraId="65ED4A48" w14:textId="25C26711" w:rsidR="00FB6650" w:rsidRPr="0039662C" w:rsidRDefault="00E336B1" w:rsidP="0039662C">
      <w:pPr>
        <w:pStyle w:val="ListParagraph"/>
        <w:numPr>
          <w:ilvl w:val="0"/>
          <w:numId w:val="30"/>
        </w:numPr>
        <w:rPr>
          <w:rFonts w:asciiTheme="minorHAnsi" w:hAnsiTheme="minorHAnsi"/>
        </w:rPr>
      </w:pPr>
      <w:r w:rsidRPr="0039662C">
        <w:rPr>
          <w:rFonts w:asciiTheme="minorHAnsi" w:hAnsiTheme="minorHAnsi"/>
        </w:rPr>
        <w:t>S</w:t>
      </w:r>
      <w:r w:rsidR="00FB6650" w:rsidRPr="0039662C">
        <w:rPr>
          <w:rFonts w:asciiTheme="minorHAnsi" w:hAnsiTheme="minorHAnsi"/>
        </w:rPr>
        <w:t>pecial needs dentistry workforce</w:t>
      </w:r>
      <w:r w:rsidRPr="0039662C">
        <w:rPr>
          <w:rFonts w:asciiTheme="minorHAnsi" w:hAnsiTheme="minorHAnsi"/>
        </w:rPr>
        <w:t>.</w:t>
      </w:r>
      <w:r w:rsidR="00FB6650" w:rsidRPr="0039662C">
        <w:rPr>
          <w:rFonts w:asciiTheme="minorHAnsi" w:hAnsiTheme="minorHAnsi"/>
        </w:rPr>
        <w:t xml:space="preserve"> </w:t>
      </w:r>
    </w:p>
    <w:p w14:paraId="5B47A4CA" w14:textId="39050B57" w:rsidR="00FB6650" w:rsidRPr="0039662C" w:rsidRDefault="00FB6650" w:rsidP="0039662C">
      <w:pPr>
        <w:pStyle w:val="ListParagraph"/>
        <w:numPr>
          <w:ilvl w:val="0"/>
          <w:numId w:val="30"/>
        </w:numPr>
        <w:rPr>
          <w:rFonts w:asciiTheme="minorHAnsi" w:hAnsiTheme="minorHAnsi"/>
        </w:rPr>
      </w:pPr>
      <w:r w:rsidRPr="0039662C">
        <w:rPr>
          <w:rFonts w:asciiTheme="minorHAnsi" w:hAnsiTheme="minorHAnsi"/>
        </w:rPr>
        <w:t>First Nations oral health workforce and First Nations health organisations</w:t>
      </w:r>
      <w:r w:rsidR="00E336B1" w:rsidRPr="0039662C">
        <w:rPr>
          <w:rFonts w:asciiTheme="minorHAnsi" w:hAnsiTheme="minorHAnsi"/>
        </w:rPr>
        <w:t>.</w:t>
      </w:r>
    </w:p>
    <w:p w14:paraId="6689C427" w14:textId="3CBCE6D5" w:rsidR="00FB6650" w:rsidRPr="0039662C" w:rsidRDefault="00E336B1" w:rsidP="0039662C">
      <w:pPr>
        <w:pStyle w:val="ListParagraph"/>
        <w:numPr>
          <w:ilvl w:val="0"/>
          <w:numId w:val="30"/>
        </w:numPr>
        <w:rPr>
          <w:rFonts w:asciiTheme="minorHAnsi" w:hAnsiTheme="minorHAnsi"/>
        </w:rPr>
      </w:pPr>
      <w:r w:rsidRPr="0039662C">
        <w:rPr>
          <w:rFonts w:asciiTheme="minorHAnsi" w:hAnsiTheme="minorHAnsi"/>
        </w:rPr>
        <w:t>T</w:t>
      </w:r>
      <w:r w:rsidR="00FB6650" w:rsidRPr="0039662C">
        <w:rPr>
          <w:rFonts w:asciiTheme="minorHAnsi" w:hAnsiTheme="minorHAnsi"/>
        </w:rPr>
        <w:t>he dental manufacturing industry</w:t>
      </w:r>
      <w:r w:rsidRPr="0039662C">
        <w:rPr>
          <w:rFonts w:asciiTheme="minorHAnsi" w:hAnsiTheme="minorHAnsi"/>
        </w:rPr>
        <w:t>.</w:t>
      </w:r>
      <w:r w:rsidR="00FB6650" w:rsidRPr="0039662C">
        <w:rPr>
          <w:rFonts w:asciiTheme="minorHAnsi" w:hAnsiTheme="minorHAnsi"/>
        </w:rPr>
        <w:t xml:space="preserve"> </w:t>
      </w:r>
    </w:p>
    <w:p w14:paraId="4E370627" w14:textId="1433213C" w:rsidR="00FB6650" w:rsidRPr="0039662C" w:rsidRDefault="00E336B1" w:rsidP="0039662C">
      <w:pPr>
        <w:pStyle w:val="ListParagraph"/>
        <w:numPr>
          <w:ilvl w:val="0"/>
          <w:numId w:val="30"/>
        </w:numPr>
        <w:rPr>
          <w:rFonts w:asciiTheme="minorHAnsi" w:hAnsiTheme="minorHAnsi"/>
        </w:rPr>
      </w:pPr>
      <w:r w:rsidRPr="0039662C">
        <w:rPr>
          <w:rFonts w:asciiTheme="minorHAnsi" w:hAnsiTheme="minorHAnsi"/>
        </w:rPr>
        <w:t>D</w:t>
      </w:r>
      <w:r w:rsidR="00FB6650" w:rsidRPr="0039662C">
        <w:rPr>
          <w:rFonts w:asciiTheme="minorHAnsi" w:hAnsiTheme="minorHAnsi"/>
        </w:rPr>
        <w:t>ental and oral health education, training and research</w:t>
      </w:r>
      <w:r w:rsidR="00A7197C" w:rsidRPr="0039662C">
        <w:rPr>
          <w:rFonts w:asciiTheme="minorHAnsi" w:hAnsiTheme="minorHAnsi"/>
        </w:rPr>
        <w:t>.</w:t>
      </w:r>
    </w:p>
    <w:p w14:paraId="2FF3D4EB" w14:textId="027E24CC" w:rsidR="00FB6650" w:rsidRPr="0039662C" w:rsidRDefault="00A7197C" w:rsidP="0039662C">
      <w:pPr>
        <w:pStyle w:val="ListParagraph"/>
        <w:numPr>
          <w:ilvl w:val="0"/>
          <w:numId w:val="30"/>
        </w:numPr>
        <w:rPr>
          <w:rFonts w:asciiTheme="minorHAnsi" w:hAnsiTheme="minorHAnsi"/>
        </w:rPr>
      </w:pPr>
      <w:r w:rsidRPr="0039662C">
        <w:rPr>
          <w:rFonts w:asciiTheme="minorHAnsi" w:hAnsiTheme="minorHAnsi"/>
        </w:rPr>
        <w:t>H</w:t>
      </w:r>
      <w:r w:rsidR="00FB6650" w:rsidRPr="0039662C">
        <w:rPr>
          <w:rFonts w:asciiTheme="minorHAnsi" w:hAnsiTheme="minorHAnsi"/>
        </w:rPr>
        <w:t>ealth care consumers</w:t>
      </w:r>
      <w:r w:rsidRPr="0039662C">
        <w:rPr>
          <w:rFonts w:asciiTheme="minorHAnsi" w:hAnsiTheme="minorHAnsi"/>
        </w:rPr>
        <w:t>.</w:t>
      </w:r>
      <w:r w:rsidR="00FB6650" w:rsidRPr="0039662C">
        <w:rPr>
          <w:rFonts w:asciiTheme="minorHAnsi" w:hAnsiTheme="minorHAnsi"/>
        </w:rPr>
        <w:t xml:space="preserve">  </w:t>
      </w:r>
    </w:p>
    <w:p w14:paraId="383C118A" w14:textId="156B9FC1" w:rsidR="00FB6650" w:rsidRPr="0039662C" w:rsidRDefault="00A7197C" w:rsidP="0039662C">
      <w:pPr>
        <w:pStyle w:val="ListParagraph"/>
        <w:numPr>
          <w:ilvl w:val="0"/>
          <w:numId w:val="30"/>
        </w:numPr>
        <w:rPr>
          <w:rFonts w:asciiTheme="minorHAnsi" w:hAnsiTheme="minorHAnsi"/>
        </w:rPr>
      </w:pPr>
      <w:r w:rsidRPr="0039662C">
        <w:rPr>
          <w:rFonts w:asciiTheme="minorHAnsi" w:hAnsiTheme="minorHAnsi"/>
        </w:rPr>
        <w:t>R</w:t>
      </w:r>
      <w:r w:rsidR="00FB6650" w:rsidRPr="0039662C">
        <w:rPr>
          <w:rFonts w:asciiTheme="minorHAnsi" w:hAnsiTheme="minorHAnsi"/>
        </w:rPr>
        <w:t>egulatory and accreditation bodies</w:t>
      </w:r>
      <w:r w:rsidRPr="0039662C">
        <w:rPr>
          <w:rFonts w:asciiTheme="minorHAnsi" w:hAnsiTheme="minorHAnsi"/>
        </w:rPr>
        <w:t>.</w:t>
      </w:r>
      <w:r w:rsidR="00FB6650" w:rsidRPr="0039662C">
        <w:rPr>
          <w:rFonts w:asciiTheme="minorHAnsi" w:hAnsiTheme="minorHAnsi"/>
        </w:rPr>
        <w:t xml:space="preserve">  </w:t>
      </w:r>
    </w:p>
    <w:p w14:paraId="427328C9" w14:textId="0F3D2D9B" w:rsidR="009A54C1" w:rsidRPr="0039662C" w:rsidRDefault="00A7197C" w:rsidP="0039662C">
      <w:pPr>
        <w:pStyle w:val="ListParagraph"/>
        <w:numPr>
          <w:ilvl w:val="0"/>
          <w:numId w:val="30"/>
        </w:numPr>
        <w:rPr>
          <w:rFonts w:asciiTheme="minorHAnsi" w:hAnsiTheme="minorHAnsi"/>
        </w:rPr>
      </w:pPr>
      <w:r w:rsidRPr="0039662C">
        <w:rPr>
          <w:rFonts w:asciiTheme="minorHAnsi" w:hAnsiTheme="minorHAnsi"/>
        </w:rPr>
        <w:t>G</w:t>
      </w:r>
      <w:r w:rsidR="00FB6650" w:rsidRPr="0039662C">
        <w:rPr>
          <w:rFonts w:asciiTheme="minorHAnsi" w:hAnsiTheme="minorHAnsi"/>
        </w:rPr>
        <w:t>eneral practice</w:t>
      </w:r>
      <w:r w:rsidRPr="0039662C">
        <w:rPr>
          <w:rFonts w:asciiTheme="minorHAnsi" w:hAnsiTheme="minorHAnsi"/>
        </w:rPr>
        <w:t>.</w:t>
      </w:r>
    </w:p>
    <w:p w14:paraId="39F00CDE" w14:textId="464F9EF6" w:rsidR="000B3EBE" w:rsidRPr="0039662C" w:rsidRDefault="00A7197C" w:rsidP="0039662C">
      <w:pPr>
        <w:pStyle w:val="ListParagraph"/>
        <w:numPr>
          <w:ilvl w:val="0"/>
          <w:numId w:val="30"/>
        </w:numPr>
        <w:rPr>
          <w:rFonts w:asciiTheme="minorHAnsi" w:hAnsiTheme="minorHAnsi"/>
        </w:rPr>
      </w:pPr>
      <w:r w:rsidRPr="0039662C">
        <w:rPr>
          <w:rFonts w:asciiTheme="minorHAnsi" w:hAnsiTheme="minorHAnsi"/>
        </w:rPr>
        <w:t>R</w:t>
      </w:r>
      <w:r w:rsidR="009A54C1" w:rsidRPr="0039662C">
        <w:rPr>
          <w:rFonts w:asciiTheme="minorHAnsi" w:hAnsiTheme="minorHAnsi"/>
        </w:rPr>
        <w:t>ural and remote Australia</w:t>
      </w:r>
      <w:r w:rsidR="00F44998" w:rsidRPr="0039662C">
        <w:rPr>
          <w:rFonts w:asciiTheme="minorHAnsi" w:hAnsiTheme="minorHAnsi"/>
        </w:rPr>
        <w:t xml:space="preserve"> oral health stakeholders</w:t>
      </w:r>
      <w:r w:rsidR="00FB6650" w:rsidRPr="0039662C">
        <w:rPr>
          <w:rFonts w:asciiTheme="minorHAnsi" w:hAnsiTheme="minorHAnsi"/>
        </w:rPr>
        <w:t>.</w:t>
      </w:r>
    </w:p>
    <w:p w14:paraId="7E2E1921" w14:textId="273CCFC0" w:rsidR="000B3EBE" w:rsidRPr="00D12430" w:rsidRDefault="000B3EBE" w:rsidP="00D12430">
      <w:pPr>
        <w:rPr>
          <w:rFonts w:asciiTheme="minorHAnsi" w:hAnsiTheme="minorHAnsi"/>
        </w:rPr>
      </w:pPr>
      <w:r w:rsidRPr="004D5CFC">
        <w:rPr>
          <w:rFonts w:asciiTheme="minorHAnsi" w:hAnsiTheme="minorHAnsi"/>
          <w:b/>
          <w:bCs/>
        </w:rPr>
        <w:t>Advice from the Governance Group</w:t>
      </w:r>
      <w:r w:rsidRPr="00D12430">
        <w:rPr>
          <w:rFonts w:asciiTheme="minorHAnsi" w:hAnsiTheme="minorHAnsi"/>
        </w:rPr>
        <w:t xml:space="preserve"> overseeing the Plan’s development. </w:t>
      </w:r>
      <w:r w:rsidR="00176D6A" w:rsidRPr="00D12430">
        <w:rPr>
          <w:rFonts w:asciiTheme="minorHAnsi" w:hAnsiTheme="minorHAnsi"/>
        </w:rPr>
        <w:t xml:space="preserve">Health Ministers </w:t>
      </w:r>
      <w:r w:rsidR="00DA7766" w:rsidRPr="00D12430">
        <w:rPr>
          <w:rFonts w:asciiTheme="minorHAnsi" w:hAnsiTheme="minorHAnsi"/>
        </w:rPr>
        <w:t>set up</w:t>
      </w:r>
      <w:r w:rsidR="00176D6A" w:rsidRPr="00D12430">
        <w:rPr>
          <w:rFonts w:asciiTheme="minorHAnsi" w:hAnsiTheme="minorHAnsi"/>
        </w:rPr>
        <w:t xml:space="preserve"> a Governance Group to oversee and direct the Plan’s development. The Governance Group include</w:t>
      </w:r>
      <w:r w:rsidR="000E4A6B" w:rsidRPr="00D12430">
        <w:rPr>
          <w:rFonts w:asciiTheme="minorHAnsi" w:hAnsiTheme="minorHAnsi"/>
        </w:rPr>
        <w:t>s</w:t>
      </w:r>
      <w:r w:rsidR="00176D6A" w:rsidRPr="00D12430">
        <w:rPr>
          <w:rFonts w:asciiTheme="minorHAnsi" w:hAnsiTheme="minorHAnsi"/>
        </w:rPr>
        <w:t xml:space="preserve"> officials from the </w:t>
      </w:r>
      <w:r w:rsidR="00B40295" w:rsidRPr="00D12430">
        <w:rPr>
          <w:rFonts w:asciiTheme="minorHAnsi" w:hAnsiTheme="minorHAnsi"/>
        </w:rPr>
        <w:t xml:space="preserve">Australian Government </w:t>
      </w:r>
      <w:r w:rsidR="00176D6A" w:rsidRPr="00D12430">
        <w:rPr>
          <w:rFonts w:asciiTheme="minorHAnsi" w:hAnsiTheme="minorHAnsi"/>
        </w:rPr>
        <w:t>Department of Health, Disability and Ageing, state and territory government</w:t>
      </w:r>
      <w:r w:rsidR="00B40295" w:rsidRPr="00D12430">
        <w:rPr>
          <w:rFonts w:asciiTheme="minorHAnsi" w:hAnsiTheme="minorHAnsi"/>
        </w:rPr>
        <w:t xml:space="preserve"> </w:t>
      </w:r>
      <w:r w:rsidR="00AD29BE" w:rsidRPr="00D12430">
        <w:rPr>
          <w:rFonts w:asciiTheme="minorHAnsi" w:hAnsiTheme="minorHAnsi"/>
        </w:rPr>
        <w:t>health departments</w:t>
      </w:r>
      <w:r w:rsidR="00176D6A" w:rsidRPr="00D12430">
        <w:rPr>
          <w:rFonts w:asciiTheme="minorHAnsi" w:hAnsiTheme="minorHAnsi"/>
        </w:rPr>
        <w:t xml:space="preserve">, and the Australian Institute of Health and Welfare. </w:t>
      </w:r>
    </w:p>
    <w:p w14:paraId="20A40569" w14:textId="1DE55265" w:rsidR="000553D6" w:rsidRDefault="00B530A1" w:rsidP="00D12430">
      <w:pPr>
        <w:rPr>
          <w:rFonts w:asciiTheme="minorHAnsi" w:hAnsiTheme="minorHAnsi"/>
        </w:rPr>
        <w:sectPr w:rsidR="000553D6" w:rsidSect="00EB4B52">
          <w:headerReference w:type="default" r:id="rId19"/>
          <w:footerReference w:type="default" r:id="rId20"/>
          <w:pgSz w:w="11906" w:h="16838"/>
          <w:pgMar w:top="1440" w:right="1440" w:bottom="1440" w:left="1440" w:header="708" w:footer="708" w:gutter="0"/>
          <w:cols w:space="708"/>
          <w:docGrid w:linePitch="360"/>
        </w:sectPr>
      </w:pPr>
      <w:r w:rsidRPr="004F4432">
        <w:rPr>
          <w:rFonts w:asciiTheme="minorHAnsi" w:hAnsiTheme="minorHAnsi"/>
          <w:b/>
          <w:bCs/>
        </w:rPr>
        <w:t>Analysis</w:t>
      </w:r>
      <w:r w:rsidR="000B3EBE" w:rsidRPr="004F4432">
        <w:rPr>
          <w:rFonts w:asciiTheme="minorHAnsi" w:hAnsiTheme="minorHAnsi"/>
          <w:b/>
          <w:bCs/>
        </w:rPr>
        <w:t xml:space="preserve"> of relevant strategies, action plans and framewo</w:t>
      </w:r>
      <w:r w:rsidR="000B3EBE" w:rsidRPr="004F4432">
        <w:rPr>
          <w:rFonts w:asciiTheme="minorHAnsi" w:hAnsiTheme="minorHAnsi"/>
        </w:rPr>
        <w:t xml:space="preserve">rks to ensure the Plan aligns with and builds on action in oral health. This includes </w:t>
      </w:r>
      <w:r w:rsidR="00C6715B" w:rsidRPr="004F4432">
        <w:rPr>
          <w:rFonts w:asciiTheme="minorHAnsi" w:hAnsiTheme="minorHAnsi"/>
        </w:rPr>
        <w:t>Australia’s i</w:t>
      </w:r>
      <w:r w:rsidR="000B3EBE" w:rsidRPr="004F4432">
        <w:rPr>
          <w:rFonts w:asciiTheme="minorHAnsi" w:hAnsiTheme="minorHAnsi"/>
        </w:rPr>
        <w:t xml:space="preserve">nternational </w:t>
      </w:r>
      <w:r w:rsidR="00735FAC" w:rsidRPr="004F4432">
        <w:rPr>
          <w:rFonts w:asciiTheme="minorHAnsi" w:hAnsiTheme="minorHAnsi"/>
        </w:rPr>
        <w:t xml:space="preserve">oral health commitments through the </w:t>
      </w:r>
      <w:hyperlink r:id="rId21" w:history="1">
        <w:r w:rsidR="004F4432" w:rsidRPr="004F4432">
          <w:rPr>
            <w:rStyle w:val="Hyperlink"/>
            <w:rFonts w:asciiTheme="minorHAnsi" w:hAnsiTheme="minorHAnsi" w:cs="Arial"/>
          </w:rPr>
          <w:t>World Health Organization Global Strategy and Action Plan on Oral Health</w:t>
        </w:r>
      </w:hyperlink>
      <w:r w:rsidR="00780509">
        <w:t xml:space="preserve"> </w:t>
      </w:r>
      <w:r w:rsidR="00780509" w:rsidRPr="00780509">
        <w:rPr>
          <w:rFonts w:asciiTheme="minorHAnsi" w:hAnsiTheme="minorHAnsi"/>
        </w:rPr>
        <w:t>and the</w:t>
      </w:r>
      <w:r w:rsidR="00780509">
        <w:t xml:space="preserve"> </w:t>
      </w:r>
      <w:hyperlink r:id="rId22" w:history="1">
        <w:r w:rsidR="004F4432" w:rsidRPr="004F4432">
          <w:rPr>
            <w:rStyle w:val="Hyperlink"/>
            <w:rFonts w:asciiTheme="minorHAnsi" w:hAnsiTheme="minorHAnsi" w:cs="Arial"/>
          </w:rPr>
          <w:t>United Nations Minamata Convention on Mercury</w:t>
        </w:r>
      </w:hyperlink>
      <w:r w:rsidR="00780509">
        <w:rPr>
          <w:rFonts w:asciiTheme="minorHAnsi" w:hAnsiTheme="minorHAnsi"/>
        </w:rPr>
        <w:t xml:space="preserve">, </w:t>
      </w:r>
      <w:r w:rsidR="000B3EBE" w:rsidRPr="00D12430">
        <w:rPr>
          <w:rFonts w:asciiTheme="minorHAnsi" w:hAnsiTheme="minorHAnsi"/>
        </w:rPr>
        <w:t xml:space="preserve">examples at state and national level in Australia, as well as at the local level. </w:t>
      </w:r>
    </w:p>
    <w:p w14:paraId="0E614DF9" w14:textId="77777777" w:rsidR="00462578" w:rsidRPr="00D12430" w:rsidRDefault="000553D6" w:rsidP="00462578">
      <w:pPr>
        <w:pStyle w:val="Heading1"/>
      </w:pPr>
      <w:r>
        <w:rPr>
          <w:rFonts w:asciiTheme="minorHAnsi" w:hAnsiTheme="minorHAnsi"/>
        </w:rPr>
        <w:lastRenderedPageBreak/>
        <w:t xml:space="preserve"> </w:t>
      </w:r>
      <w:bookmarkStart w:id="1" w:name="_Toc204343547"/>
      <w:r w:rsidR="00462578" w:rsidRPr="00D12430">
        <w:t>Draft framework for consultation</w:t>
      </w:r>
      <w:bookmarkEnd w:id="1"/>
    </w:p>
    <w:p w14:paraId="6814E9B8" w14:textId="0B26BDD4" w:rsidR="000553D6" w:rsidRDefault="000553D6" w:rsidP="00D12430">
      <w:pPr>
        <w:rPr>
          <w:rFonts w:asciiTheme="minorHAnsi" w:hAnsiTheme="minorHAnsi"/>
        </w:rPr>
      </w:pPr>
      <w:r>
        <w:rPr>
          <w:rFonts w:asciiTheme="minorHAnsi" w:hAnsiTheme="minorHAnsi"/>
        </w:rPr>
        <w:t xml:space="preserve"> </w:t>
      </w:r>
      <w:r w:rsidR="00FB1FDE">
        <w:rPr>
          <w:noProof/>
        </w:rPr>
        <w:drawing>
          <wp:inline distT="0" distB="0" distL="0" distR="0" wp14:anchorId="684D2CE1" wp14:editId="369F9ACA">
            <wp:extent cx="8863330" cy="4810125"/>
            <wp:effectExtent l="0" t="0" r="0" b="9525"/>
            <wp:docPr id="165621400" name="Picture 1" descr="A diagram setting out the vision, principles and focus areas which are described in the text of the summary pap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21400" name="Picture 1" descr="A diagram setting out the vision, principles and focus areas which are described in the text of the summary paper. "/>
                    <pic:cNvPicPr/>
                  </pic:nvPicPr>
                  <pic:blipFill>
                    <a:blip r:embed="rId23"/>
                    <a:stretch>
                      <a:fillRect/>
                    </a:stretch>
                  </pic:blipFill>
                  <pic:spPr>
                    <a:xfrm>
                      <a:off x="0" y="0"/>
                      <a:ext cx="8863330" cy="4810125"/>
                    </a:xfrm>
                    <a:prstGeom prst="rect">
                      <a:avLst/>
                    </a:prstGeom>
                  </pic:spPr>
                </pic:pic>
              </a:graphicData>
            </a:graphic>
          </wp:inline>
        </w:drawing>
      </w:r>
    </w:p>
    <w:p w14:paraId="4C5CF4D0" w14:textId="77777777" w:rsidR="00462578" w:rsidRDefault="00462578" w:rsidP="00D12430">
      <w:pPr>
        <w:rPr>
          <w:rFonts w:asciiTheme="minorHAnsi" w:hAnsiTheme="minorHAnsi"/>
        </w:rPr>
        <w:sectPr w:rsidR="00462578" w:rsidSect="000553D6">
          <w:pgSz w:w="16838" w:h="11906" w:orient="landscape"/>
          <w:pgMar w:top="1440" w:right="1440" w:bottom="1440" w:left="1440" w:header="708" w:footer="708" w:gutter="0"/>
          <w:cols w:space="708"/>
          <w:docGrid w:linePitch="360"/>
        </w:sectPr>
      </w:pPr>
    </w:p>
    <w:p w14:paraId="1A0F24AF" w14:textId="22770DE6" w:rsidR="00265ED3" w:rsidRPr="00D12430" w:rsidRDefault="00265ED3" w:rsidP="00D12430">
      <w:pPr>
        <w:rPr>
          <w:rFonts w:asciiTheme="minorHAnsi" w:hAnsiTheme="minorHAnsi"/>
        </w:rPr>
      </w:pPr>
    </w:p>
    <w:p w14:paraId="6DBB1316" w14:textId="4A699F52" w:rsidR="00377408" w:rsidRPr="00D12430" w:rsidRDefault="00377408" w:rsidP="00D12430">
      <w:pPr>
        <w:pStyle w:val="Heading1"/>
      </w:pPr>
      <w:bookmarkStart w:id="2" w:name="_Toc204343548"/>
      <w:r w:rsidRPr="00D12430">
        <w:t>The Vision</w:t>
      </w:r>
      <w:r w:rsidR="00405394" w:rsidRPr="00D12430">
        <w:t>: Better oral health</w:t>
      </w:r>
      <w:bookmarkEnd w:id="2"/>
    </w:p>
    <w:p w14:paraId="4973A20D" w14:textId="5DBEFC3B" w:rsidR="00377408" w:rsidRPr="00D12430" w:rsidRDefault="00377408" w:rsidP="00D12430">
      <w:pPr>
        <w:rPr>
          <w:rFonts w:asciiTheme="minorHAnsi" w:hAnsiTheme="minorHAnsi"/>
          <w:color w:val="FF0000"/>
        </w:rPr>
      </w:pPr>
      <w:r w:rsidRPr="00D12430">
        <w:rPr>
          <w:rFonts w:asciiTheme="minorHAnsi" w:hAnsiTheme="minorHAnsi"/>
        </w:rPr>
        <w:t xml:space="preserve">Looking into the future, the new National Oral Health Plan will describe critical outcomes </w:t>
      </w:r>
      <w:r w:rsidR="004A37F3">
        <w:rPr>
          <w:rFonts w:asciiTheme="minorHAnsi" w:hAnsiTheme="minorHAnsi"/>
        </w:rPr>
        <w:t xml:space="preserve">to improve </w:t>
      </w:r>
      <w:r w:rsidRPr="00D12430">
        <w:rPr>
          <w:rFonts w:asciiTheme="minorHAnsi" w:hAnsiTheme="minorHAnsi"/>
        </w:rPr>
        <w:t>oral health. The draft vision</w:t>
      </w:r>
      <w:r w:rsidR="00C0199C" w:rsidRPr="00D12430">
        <w:rPr>
          <w:rFonts w:asciiTheme="minorHAnsi" w:hAnsiTheme="minorHAnsi"/>
        </w:rPr>
        <w:t xml:space="preserve">, </w:t>
      </w:r>
      <w:r w:rsidR="00E22134" w:rsidRPr="00D12430">
        <w:rPr>
          <w:rFonts w:asciiTheme="minorHAnsi" w:hAnsiTheme="minorHAnsi"/>
        </w:rPr>
        <w:t xml:space="preserve">“Better oral health”, </w:t>
      </w:r>
      <w:r w:rsidR="00A325F2">
        <w:rPr>
          <w:rFonts w:asciiTheme="minorHAnsi" w:hAnsiTheme="minorHAnsi"/>
        </w:rPr>
        <w:t xml:space="preserve">includes all aspects of oral health. </w:t>
      </w:r>
    </w:p>
    <w:p w14:paraId="6E94C047" w14:textId="599B65EC" w:rsidR="00FD5919" w:rsidRPr="00D12430" w:rsidRDefault="00377408" w:rsidP="00D12430">
      <w:pPr>
        <w:rPr>
          <w:rFonts w:asciiTheme="minorHAnsi" w:hAnsiTheme="minorHAnsi"/>
        </w:rPr>
      </w:pPr>
      <w:r w:rsidRPr="00D12430">
        <w:rPr>
          <w:rFonts w:asciiTheme="minorHAnsi" w:hAnsiTheme="minorHAnsi"/>
        </w:rPr>
        <w:t xml:space="preserve">The draft vision will be realised through the principles and focus areas described below. </w:t>
      </w:r>
    </w:p>
    <w:p w14:paraId="02542632" w14:textId="77777777" w:rsidR="00FD5919" w:rsidRPr="00D12430" w:rsidRDefault="00321799" w:rsidP="00D12430">
      <w:pPr>
        <w:pStyle w:val="Heading1"/>
      </w:pPr>
      <w:bookmarkStart w:id="3" w:name="_Toc204343549"/>
      <w:r w:rsidRPr="00D12430">
        <w:t>The Principles explained…</w:t>
      </w:r>
      <w:bookmarkEnd w:id="3"/>
    </w:p>
    <w:p w14:paraId="40063B10" w14:textId="165F87AA" w:rsidR="00342E34" w:rsidRPr="00D12430" w:rsidRDefault="00701EEC" w:rsidP="00D12430">
      <w:pPr>
        <w:rPr>
          <w:rFonts w:asciiTheme="minorHAnsi" w:hAnsiTheme="minorHAnsi"/>
        </w:rPr>
      </w:pPr>
      <w:r w:rsidRPr="00D12430">
        <w:rPr>
          <w:rFonts w:asciiTheme="minorHAnsi" w:hAnsiTheme="minorHAnsi"/>
        </w:rPr>
        <w:t>The principles below</w:t>
      </w:r>
      <w:r w:rsidR="00771552" w:rsidRPr="00D12430">
        <w:rPr>
          <w:rFonts w:asciiTheme="minorHAnsi" w:hAnsiTheme="minorHAnsi" w:cs="Segoe UI"/>
          <w:color w:val="242424"/>
          <w:kern w:val="0"/>
          <w14:ligatures w14:val="none"/>
        </w:rPr>
        <w:t xml:space="preserve"> </w:t>
      </w:r>
      <w:r w:rsidR="0079166C">
        <w:rPr>
          <w:rFonts w:asciiTheme="minorHAnsi" w:hAnsiTheme="minorHAnsi"/>
        </w:rPr>
        <w:t xml:space="preserve">are </w:t>
      </w:r>
      <w:r w:rsidR="008C387E">
        <w:rPr>
          <w:rFonts w:asciiTheme="minorHAnsi" w:hAnsiTheme="minorHAnsi"/>
        </w:rPr>
        <w:t>the</w:t>
      </w:r>
      <w:r w:rsidR="00DF7034">
        <w:rPr>
          <w:rFonts w:asciiTheme="minorHAnsi" w:hAnsiTheme="minorHAnsi"/>
        </w:rPr>
        <w:t xml:space="preserve"> overarching aims for the plan, and provide </w:t>
      </w:r>
      <w:r w:rsidR="0079166C">
        <w:rPr>
          <w:rFonts w:asciiTheme="minorHAnsi" w:hAnsiTheme="minorHAnsi"/>
        </w:rPr>
        <w:t>the</w:t>
      </w:r>
      <w:r w:rsidR="00771552" w:rsidRPr="00D12430">
        <w:rPr>
          <w:rFonts w:asciiTheme="minorHAnsi" w:hAnsiTheme="minorHAnsi"/>
        </w:rPr>
        <w:t xml:space="preserve"> foundation</w:t>
      </w:r>
      <w:r w:rsidR="0079166C">
        <w:rPr>
          <w:rFonts w:asciiTheme="minorHAnsi" w:hAnsiTheme="minorHAnsi"/>
        </w:rPr>
        <w:t xml:space="preserve">s </w:t>
      </w:r>
      <w:r w:rsidR="00475CC7" w:rsidRPr="00D12430">
        <w:rPr>
          <w:rFonts w:asciiTheme="minorHAnsi" w:hAnsiTheme="minorHAnsi"/>
        </w:rPr>
        <w:t>for</w:t>
      </w:r>
      <w:r w:rsidR="0048266A" w:rsidRPr="00D12430">
        <w:rPr>
          <w:rFonts w:asciiTheme="minorHAnsi" w:hAnsiTheme="minorHAnsi"/>
        </w:rPr>
        <w:t xml:space="preserve"> </w:t>
      </w:r>
      <w:r w:rsidR="00C7687A" w:rsidRPr="00D12430">
        <w:rPr>
          <w:rFonts w:asciiTheme="minorHAnsi" w:hAnsiTheme="minorHAnsi"/>
        </w:rPr>
        <w:t>the plan’s focus areas and outcomes.</w:t>
      </w:r>
      <w:r w:rsidR="001262D8" w:rsidRPr="00D12430">
        <w:rPr>
          <w:rFonts w:asciiTheme="minorHAnsi" w:hAnsiTheme="minorHAnsi"/>
        </w:rPr>
        <w:t xml:space="preserve"> Each principle is relevant to the whole plan.</w:t>
      </w:r>
    </w:p>
    <w:p w14:paraId="37E4D8BD" w14:textId="77777777" w:rsidR="00342E34" w:rsidRPr="0039662C" w:rsidRDefault="00342E34" w:rsidP="0039662C">
      <w:pPr>
        <w:pStyle w:val="ListParagraph"/>
        <w:numPr>
          <w:ilvl w:val="0"/>
          <w:numId w:val="31"/>
        </w:numPr>
        <w:rPr>
          <w:rFonts w:asciiTheme="minorHAnsi" w:hAnsiTheme="minorHAnsi"/>
        </w:rPr>
      </w:pPr>
      <w:r w:rsidRPr="003A0096">
        <w:rPr>
          <w:rFonts w:asciiTheme="minorHAnsi" w:hAnsiTheme="minorHAnsi"/>
          <w:b/>
          <w:bCs/>
        </w:rPr>
        <w:t>A population health approach to oral health, emphasising prevention and promotion</w:t>
      </w:r>
      <w:r w:rsidRPr="0039662C">
        <w:rPr>
          <w:rFonts w:asciiTheme="minorHAnsi" w:hAnsiTheme="minorHAnsi"/>
        </w:rPr>
        <w:t xml:space="preserve">. A population health approach focuses on improving the effectiveness of oral health prevention and promotion within the socio-economic and cultural determinants of health. </w:t>
      </w:r>
    </w:p>
    <w:p w14:paraId="615BAD90" w14:textId="77777777" w:rsidR="00342E34" w:rsidRPr="0039662C" w:rsidRDefault="00342E34" w:rsidP="0039662C">
      <w:pPr>
        <w:pStyle w:val="ListParagraph"/>
        <w:numPr>
          <w:ilvl w:val="0"/>
          <w:numId w:val="31"/>
        </w:numPr>
        <w:rPr>
          <w:rFonts w:asciiTheme="minorHAnsi" w:hAnsiTheme="minorHAnsi"/>
        </w:rPr>
      </w:pPr>
      <w:r w:rsidRPr="003A0096">
        <w:rPr>
          <w:rFonts w:asciiTheme="minorHAnsi" w:hAnsiTheme="minorHAnsi"/>
          <w:b/>
          <w:bCs/>
        </w:rPr>
        <w:t>Person-centred, equitable oral health care across the lifespan</w:t>
      </w:r>
      <w:r w:rsidRPr="0039662C">
        <w:rPr>
          <w:rFonts w:asciiTheme="minorHAnsi" w:hAnsiTheme="minorHAnsi"/>
        </w:rPr>
        <w:t xml:space="preserve">. Oral health needs to be considered part of a holistic, person-centred approach to healthcare. </w:t>
      </w:r>
    </w:p>
    <w:p w14:paraId="151E6487" w14:textId="4B1D9CA9" w:rsidR="00342E34" w:rsidRPr="0039662C" w:rsidRDefault="00342E34" w:rsidP="0039662C">
      <w:pPr>
        <w:pStyle w:val="ListParagraph"/>
        <w:numPr>
          <w:ilvl w:val="0"/>
          <w:numId w:val="31"/>
        </w:numPr>
        <w:rPr>
          <w:rFonts w:asciiTheme="minorHAnsi" w:hAnsiTheme="minorHAnsi"/>
        </w:rPr>
      </w:pPr>
      <w:r w:rsidRPr="003A0096">
        <w:rPr>
          <w:rFonts w:asciiTheme="minorHAnsi" w:hAnsiTheme="minorHAnsi"/>
          <w:b/>
          <w:bCs/>
        </w:rPr>
        <w:t>A sustainable</w:t>
      </w:r>
      <w:r w:rsidR="003D7E7F" w:rsidRPr="003A0096">
        <w:rPr>
          <w:rFonts w:asciiTheme="minorHAnsi" w:hAnsiTheme="minorHAnsi"/>
          <w:b/>
          <w:bCs/>
        </w:rPr>
        <w:t xml:space="preserve"> and affordable</w:t>
      </w:r>
      <w:r w:rsidRPr="003A0096">
        <w:rPr>
          <w:rFonts w:asciiTheme="minorHAnsi" w:hAnsiTheme="minorHAnsi"/>
          <w:b/>
          <w:bCs/>
        </w:rPr>
        <w:t xml:space="preserve"> oral health system</w:t>
      </w:r>
      <w:r w:rsidRPr="0039662C">
        <w:rPr>
          <w:rFonts w:asciiTheme="minorHAnsi" w:hAnsiTheme="minorHAnsi"/>
        </w:rPr>
        <w:t xml:space="preserve">. The oral health sector is supported to provide sustainable </w:t>
      </w:r>
      <w:r w:rsidR="003D7E7F">
        <w:rPr>
          <w:rFonts w:asciiTheme="minorHAnsi" w:hAnsiTheme="minorHAnsi"/>
        </w:rPr>
        <w:t xml:space="preserve">and cost-effective </w:t>
      </w:r>
      <w:r w:rsidRPr="0039662C">
        <w:rPr>
          <w:rFonts w:asciiTheme="minorHAnsi" w:hAnsiTheme="minorHAnsi"/>
        </w:rPr>
        <w:t xml:space="preserve">oral health care. </w:t>
      </w:r>
    </w:p>
    <w:p w14:paraId="4A034225" w14:textId="77777777" w:rsidR="00342E34" w:rsidRPr="0039662C" w:rsidRDefault="00342E34" w:rsidP="0039662C">
      <w:pPr>
        <w:pStyle w:val="ListParagraph"/>
        <w:numPr>
          <w:ilvl w:val="0"/>
          <w:numId w:val="31"/>
        </w:numPr>
        <w:rPr>
          <w:rFonts w:asciiTheme="minorHAnsi" w:hAnsiTheme="minorHAnsi"/>
        </w:rPr>
      </w:pPr>
      <w:r w:rsidRPr="003A0096">
        <w:rPr>
          <w:rFonts w:asciiTheme="minorHAnsi" w:hAnsiTheme="minorHAnsi"/>
          <w:b/>
          <w:bCs/>
        </w:rPr>
        <w:t>An oral health workforce for contemporary and future needs</w:t>
      </w:r>
      <w:r w:rsidRPr="0039662C">
        <w:rPr>
          <w:rFonts w:asciiTheme="minorHAnsi" w:hAnsiTheme="minorHAnsi"/>
        </w:rPr>
        <w:t xml:space="preserve">. Workforce models should be responsive to oral health needs. </w:t>
      </w:r>
    </w:p>
    <w:p w14:paraId="7A0D5AA2" w14:textId="77777777" w:rsidR="00342E34" w:rsidRPr="0039662C" w:rsidRDefault="00342E34" w:rsidP="0039662C">
      <w:pPr>
        <w:pStyle w:val="ListParagraph"/>
        <w:numPr>
          <w:ilvl w:val="0"/>
          <w:numId w:val="31"/>
        </w:numPr>
        <w:rPr>
          <w:rFonts w:asciiTheme="minorHAnsi" w:hAnsiTheme="minorHAnsi"/>
        </w:rPr>
      </w:pPr>
      <w:r w:rsidRPr="003A0096">
        <w:rPr>
          <w:rFonts w:asciiTheme="minorHAnsi" w:hAnsiTheme="minorHAnsi"/>
          <w:b/>
          <w:bCs/>
        </w:rPr>
        <w:t>Integrate oral health into general health</w:t>
      </w:r>
      <w:r w:rsidRPr="0039662C">
        <w:rPr>
          <w:rFonts w:asciiTheme="minorHAnsi" w:hAnsiTheme="minorHAnsi"/>
        </w:rPr>
        <w:t xml:space="preserve">. Oral health is part of overall health and should be integrated into the general health system. </w:t>
      </w:r>
    </w:p>
    <w:p w14:paraId="6D5AE6D8" w14:textId="77777777" w:rsidR="00342E34" w:rsidRPr="0039662C" w:rsidRDefault="00342E34" w:rsidP="0039662C">
      <w:pPr>
        <w:pStyle w:val="ListParagraph"/>
        <w:numPr>
          <w:ilvl w:val="0"/>
          <w:numId w:val="31"/>
        </w:numPr>
        <w:rPr>
          <w:rFonts w:asciiTheme="minorHAnsi" w:hAnsiTheme="minorHAnsi"/>
        </w:rPr>
      </w:pPr>
      <w:r w:rsidRPr="003A0096">
        <w:rPr>
          <w:rFonts w:asciiTheme="minorHAnsi" w:hAnsiTheme="minorHAnsi"/>
          <w:b/>
          <w:bCs/>
        </w:rPr>
        <w:t>Optimising technologies and innovation for oral health</w:t>
      </w:r>
      <w:r w:rsidRPr="0039662C">
        <w:rPr>
          <w:rFonts w:asciiTheme="minorHAnsi" w:hAnsiTheme="minorHAnsi"/>
        </w:rPr>
        <w:t xml:space="preserve">. Technologies and innovation can be used strategically for oral health at different levels, including for improving oral health literacy, service delivery and data collection. </w:t>
      </w:r>
    </w:p>
    <w:p w14:paraId="579B74A8" w14:textId="14289AC3" w:rsidR="00B36DA3" w:rsidRPr="00D12430" w:rsidRDefault="00B36DA3" w:rsidP="00B36DA3">
      <w:pPr>
        <w:pStyle w:val="Heading1"/>
      </w:pPr>
      <w:bookmarkStart w:id="4" w:name="_Toc204343550"/>
      <w:r w:rsidRPr="00D12430">
        <w:t xml:space="preserve">Focus areas – </w:t>
      </w:r>
      <w:r w:rsidR="00E91636">
        <w:t xml:space="preserve">7 </w:t>
      </w:r>
      <w:r w:rsidR="00C87A56">
        <w:t xml:space="preserve">focus areas set out </w:t>
      </w:r>
      <w:r w:rsidR="00E432A0">
        <w:t>objectives</w:t>
      </w:r>
      <w:r>
        <w:t xml:space="preserve"> of the plan</w:t>
      </w:r>
      <w:bookmarkEnd w:id="4"/>
    </w:p>
    <w:p w14:paraId="7ED49756" w14:textId="1A559813" w:rsidR="00424E3B" w:rsidRDefault="00E91636" w:rsidP="00B36DA3">
      <w:pPr>
        <w:rPr>
          <w:rFonts w:asciiTheme="minorHAnsi" w:hAnsiTheme="minorHAnsi"/>
        </w:rPr>
      </w:pPr>
      <w:r>
        <w:rPr>
          <w:rFonts w:asciiTheme="minorHAnsi" w:hAnsiTheme="minorHAnsi"/>
        </w:rPr>
        <w:t xml:space="preserve">4 </w:t>
      </w:r>
      <w:r w:rsidR="00196A8D">
        <w:rPr>
          <w:rFonts w:asciiTheme="minorHAnsi" w:hAnsiTheme="minorHAnsi"/>
        </w:rPr>
        <w:t>goal-focused focus areas:</w:t>
      </w:r>
    </w:p>
    <w:p w14:paraId="0AFB84D5" w14:textId="5FB724C8" w:rsidR="00196A8D" w:rsidRDefault="00073CE1" w:rsidP="00073CE1">
      <w:pPr>
        <w:pStyle w:val="ListParagraph"/>
        <w:numPr>
          <w:ilvl w:val="0"/>
          <w:numId w:val="34"/>
        </w:numPr>
        <w:rPr>
          <w:rFonts w:asciiTheme="minorHAnsi" w:hAnsiTheme="minorHAnsi"/>
        </w:rPr>
      </w:pPr>
      <w:r>
        <w:rPr>
          <w:rFonts w:asciiTheme="minorHAnsi" w:hAnsiTheme="minorHAnsi"/>
        </w:rPr>
        <w:t>Reduce Australia’s oral disease burden</w:t>
      </w:r>
      <w:r w:rsidR="00AE0AA7">
        <w:rPr>
          <w:rFonts w:asciiTheme="minorHAnsi" w:hAnsiTheme="minorHAnsi"/>
        </w:rPr>
        <w:t>.</w:t>
      </w:r>
    </w:p>
    <w:p w14:paraId="0892C664" w14:textId="100AF197" w:rsidR="00073CE1" w:rsidRDefault="00073CE1" w:rsidP="00073CE1">
      <w:pPr>
        <w:pStyle w:val="ListParagraph"/>
        <w:numPr>
          <w:ilvl w:val="0"/>
          <w:numId w:val="34"/>
        </w:numPr>
        <w:rPr>
          <w:rFonts w:asciiTheme="minorHAnsi" w:hAnsiTheme="minorHAnsi"/>
        </w:rPr>
      </w:pPr>
      <w:r>
        <w:rPr>
          <w:rFonts w:asciiTheme="minorHAnsi" w:hAnsiTheme="minorHAnsi"/>
        </w:rPr>
        <w:t>Improve the effectiveness of oral health prevention and promotion</w:t>
      </w:r>
      <w:r w:rsidR="00AE0AA7">
        <w:rPr>
          <w:rFonts w:asciiTheme="minorHAnsi" w:hAnsiTheme="minorHAnsi"/>
        </w:rPr>
        <w:t>.</w:t>
      </w:r>
    </w:p>
    <w:p w14:paraId="6E069059" w14:textId="01425218" w:rsidR="00073CE1" w:rsidRDefault="00073CE1" w:rsidP="00073CE1">
      <w:pPr>
        <w:pStyle w:val="ListParagraph"/>
        <w:numPr>
          <w:ilvl w:val="0"/>
          <w:numId w:val="34"/>
        </w:numPr>
        <w:rPr>
          <w:rFonts w:asciiTheme="minorHAnsi" w:hAnsiTheme="minorHAnsi"/>
        </w:rPr>
      </w:pPr>
      <w:r>
        <w:rPr>
          <w:rFonts w:asciiTheme="minorHAnsi" w:hAnsiTheme="minorHAnsi"/>
        </w:rPr>
        <w:t xml:space="preserve">Closing the Gap for oral health outcomes for Aboriginal and Torres Strait Islander </w:t>
      </w:r>
      <w:r w:rsidR="00AE0AA7">
        <w:rPr>
          <w:rFonts w:asciiTheme="minorHAnsi" w:hAnsiTheme="minorHAnsi"/>
        </w:rPr>
        <w:t>p</w:t>
      </w:r>
      <w:r>
        <w:rPr>
          <w:rFonts w:asciiTheme="minorHAnsi" w:hAnsiTheme="minorHAnsi"/>
        </w:rPr>
        <w:t>eople</w:t>
      </w:r>
      <w:r w:rsidR="00AE0AA7">
        <w:rPr>
          <w:rFonts w:asciiTheme="minorHAnsi" w:hAnsiTheme="minorHAnsi"/>
        </w:rPr>
        <w:t>.</w:t>
      </w:r>
    </w:p>
    <w:p w14:paraId="32705538" w14:textId="685417FE" w:rsidR="00073CE1" w:rsidRDefault="00073CE1" w:rsidP="00073CE1">
      <w:pPr>
        <w:pStyle w:val="ListParagraph"/>
        <w:numPr>
          <w:ilvl w:val="0"/>
          <w:numId w:val="34"/>
        </w:numPr>
        <w:rPr>
          <w:rFonts w:asciiTheme="minorHAnsi" w:hAnsiTheme="minorHAnsi"/>
        </w:rPr>
      </w:pPr>
      <w:r>
        <w:rPr>
          <w:rFonts w:asciiTheme="minorHAnsi" w:hAnsiTheme="minorHAnsi"/>
        </w:rPr>
        <w:t>Improve equity of oral health access for all Australians</w:t>
      </w:r>
      <w:r w:rsidR="00AE0AA7">
        <w:rPr>
          <w:rFonts w:asciiTheme="minorHAnsi" w:hAnsiTheme="minorHAnsi"/>
        </w:rPr>
        <w:t>.</w:t>
      </w:r>
    </w:p>
    <w:p w14:paraId="4ED27CF9" w14:textId="3CF25C85" w:rsidR="00196A8D" w:rsidRDefault="00196A8D" w:rsidP="00B36DA3">
      <w:pPr>
        <w:rPr>
          <w:rFonts w:asciiTheme="minorHAnsi" w:hAnsiTheme="minorHAnsi"/>
        </w:rPr>
      </w:pPr>
      <w:r>
        <w:rPr>
          <w:rFonts w:asciiTheme="minorHAnsi" w:hAnsiTheme="minorHAnsi"/>
        </w:rPr>
        <w:t xml:space="preserve">Supported by 3 </w:t>
      </w:r>
      <w:r w:rsidR="00263CB4">
        <w:rPr>
          <w:rFonts w:asciiTheme="minorHAnsi" w:hAnsiTheme="minorHAnsi"/>
        </w:rPr>
        <w:t>enabling focus areas:</w:t>
      </w:r>
    </w:p>
    <w:p w14:paraId="3F57BA69" w14:textId="3424DCF9" w:rsidR="00263CB4" w:rsidRDefault="00073CE1" w:rsidP="00AE0AA7">
      <w:pPr>
        <w:pStyle w:val="ListParagraph"/>
        <w:numPr>
          <w:ilvl w:val="0"/>
          <w:numId w:val="34"/>
        </w:numPr>
        <w:rPr>
          <w:rFonts w:asciiTheme="minorHAnsi" w:hAnsiTheme="minorHAnsi"/>
        </w:rPr>
      </w:pPr>
      <w:r>
        <w:rPr>
          <w:rFonts w:asciiTheme="minorHAnsi" w:hAnsiTheme="minorHAnsi"/>
        </w:rPr>
        <w:lastRenderedPageBreak/>
        <w:t>Align and integrate oral health across the health system</w:t>
      </w:r>
      <w:r w:rsidR="00AE0AA7">
        <w:rPr>
          <w:rFonts w:asciiTheme="minorHAnsi" w:hAnsiTheme="minorHAnsi"/>
        </w:rPr>
        <w:t>.</w:t>
      </w:r>
    </w:p>
    <w:p w14:paraId="3FDA77F0" w14:textId="053E0BCF" w:rsidR="00073CE1" w:rsidRDefault="00073CE1" w:rsidP="00AE0AA7">
      <w:pPr>
        <w:pStyle w:val="ListParagraph"/>
        <w:numPr>
          <w:ilvl w:val="0"/>
          <w:numId w:val="34"/>
        </w:numPr>
        <w:rPr>
          <w:rFonts w:asciiTheme="minorHAnsi" w:hAnsiTheme="minorHAnsi"/>
        </w:rPr>
      </w:pPr>
      <w:r>
        <w:rPr>
          <w:rFonts w:asciiTheme="minorHAnsi" w:hAnsiTheme="minorHAnsi"/>
        </w:rPr>
        <w:t>Support a sustainable and skilled oral health workforce</w:t>
      </w:r>
      <w:r w:rsidR="00AE0AA7">
        <w:rPr>
          <w:rFonts w:asciiTheme="minorHAnsi" w:hAnsiTheme="minorHAnsi"/>
        </w:rPr>
        <w:t>.</w:t>
      </w:r>
    </w:p>
    <w:p w14:paraId="573F01E3" w14:textId="69D52B8E" w:rsidR="00B36DA3" w:rsidRPr="00E92D12" w:rsidRDefault="00073CE1" w:rsidP="00B36DA3">
      <w:pPr>
        <w:pStyle w:val="ListParagraph"/>
        <w:numPr>
          <w:ilvl w:val="0"/>
          <w:numId w:val="34"/>
        </w:numPr>
        <w:rPr>
          <w:rFonts w:asciiTheme="minorHAnsi" w:hAnsiTheme="minorHAnsi"/>
        </w:rPr>
      </w:pPr>
      <w:r>
        <w:rPr>
          <w:rFonts w:asciiTheme="minorHAnsi" w:hAnsiTheme="minorHAnsi"/>
        </w:rPr>
        <w:t>Improve oral health research, and the collection, reporting and u</w:t>
      </w:r>
      <w:r w:rsidR="00AE0AA7">
        <w:rPr>
          <w:rFonts w:asciiTheme="minorHAnsi" w:hAnsiTheme="minorHAnsi"/>
        </w:rPr>
        <w:t>se of oral health data.</w:t>
      </w:r>
    </w:p>
    <w:p w14:paraId="32868ADC" w14:textId="3019C661" w:rsidR="00B36DA3" w:rsidRDefault="00B36DA3" w:rsidP="00B36DA3">
      <w:pPr>
        <w:rPr>
          <w:rFonts w:asciiTheme="minorHAnsi" w:hAnsiTheme="minorHAnsi"/>
        </w:rPr>
      </w:pPr>
      <w:r w:rsidRPr="00D12430">
        <w:rPr>
          <w:rFonts w:asciiTheme="minorHAnsi" w:hAnsiTheme="minorHAnsi"/>
        </w:rPr>
        <w:t>Each focus area has key outcomes for Australia to aim for during 2025-2034</w:t>
      </w:r>
      <w:r w:rsidR="00E92D12">
        <w:rPr>
          <w:rFonts w:asciiTheme="minorHAnsi" w:hAnsiTheme="minorHAnsi"/>
        </w:rPr>
        <w:t>, described below.</w:t>
      </w:r>
      <w:r w:rsidRPr="00D12430">
        <w:rPr>
          <w:rFonts w:asciiTheme="minorHAnsi" w:hAnsiTheme="minorHAnsi"/>
        </w:rPr>
        <w:t xml:space="preserve"> </w:t>
      </w:r>
    </w:p>
    <w:p w14:paraId="21CBF052" w14:textId="5F8BA3F5" w:rsidR="0075761E" w:rsidRPr="00D12430" w:rsidRDefault="00E92D12" w:rsidP="00D12430">
      <w:pPr>
        <w:pStyle w:val="Heading1"/>
      </w:pPr>
      <w:bookmarkStart w:id="5" w:name="_Toc204343551"/>
      <w:r>
        <w:t>O</w:t>
      </w:r>
      <w:r w:rsidR="00605503" w:rsidRPr="00D12430">
        <w:t xml:space="preserve">utcomes </w:t>
      </w:r>
      <w:r w:rsidR="00EB4B52" w:rsidRPr="00D12430">
        <w:t>for 2034</w:t>
      </w:r>
      <w:bookmarkEnd w:id="5"/>
    </w:p>
    <w:p w14:paraId="39FBAAB0" w14:textId="18F32F06" w:rsidR="0030141D" w:rsidRPr="00D12430" w:rsidRDefault="00323F0C" w:rsidP="00D12430">
      <w:pPr>
        <w:rPr>
          <w:rFonts w:asciiTheme="minorHAnsi" w:hAnsiTheme="minorHAnsi"/>
        </w:rPr>
      </w:pPr>
      <w:r w:rsidRPr="00D12430">
        <w:rPr>
          <w:rFonts w:asciiTheme="minorHAnsi" w:hAnsiTheme="minorHAnsi"/>
        </w:rPr>
        <w:t>For</w:t>
      </w:r>
      <w:r w:rsidR="003A7CCB" w:rsidRPr="00D12430">
        <w:rPr>
          <w:rFonts w:asciiTheme="minorHAnsi" w:hAnsiTheme="minorHAnsi"/>
        </w:rPr>
        <w:t xml:space="preserve"> each of the </w:t>
      </w:r>
      <w:r w:rsidR="00E91636">
        <w:rPr>
          <w:rFonts w:asciiTheme="minorHAnsi" w:hAnsiTheme="minorHAnsi"/>
        </w:rPr>
        <w:t>7</w:t>
      </w:r>
      <w:r w:rsidR="00E91636" w:rsidRPr="00D12430">
        <w:rPr>
          <w:rFonts w:asciiTheme="minorHAnsi" w:hAnsiTheme="minorHAnsi"/>
        </w:rPr>
        <w:t xml:space="preserve"> </w:t>
      </w:r>
      <w:r w:rsidR="003A7CCB" w:rsidRPr="00D12430">
        <w:rPr>
          <w:rFonts w:asciiTheme="minorHAnsi" w:hAnsiTheme="minorHAnsi"/>
        </w:rPr>
        <w:t>focus areas set out in the framework</w:t>
      </w:r>
      <w:r w:rsidRPr="00D12430">
        <w:rPr>
          <w:rFonts w:asciiTheme="minorHAnsi" w:hAnsiTheme="minorHAnsi"/>
        </w:rPr>
        <w:t>, outcomes are set out below</w:t>
      </w:r>
      <w:r w:rsidR="003A7CCB" w:rsidRPr="00D12430">
        <w:rPr>
          <w:rFonts w:asciiTheme="minorHAnsi" w:hAnsiTheme="minorHAnsi"/>
        </w:rPr>
        <w:t xml:space="preserve">. </w:t>
      </w:r>
      <w:r w:rsidR="00402AC2" w:rsidRPr="00D12430">
        <w:rPr>
          <w:rFonts w:asciiTheme="minorHAnsi" w:hAnsiTheme="minorHAnsi"/>
        </w:rPr>
        <w:t>The</w:t>
      </w:r>
      <w:r w:rsidR="00780509">
        <w:rPr>
          <w:rFonts w:asciiTheme="minorHAnsi" w:hAnsiTheme="minorHAnsi"/>
        </w:rPr>
        <w:t> </w:t>
      </w:r>
      <w:r w:rsidR="00402AC2" w:rsidRPr="00D12430">
        <w:rPr>
          <w:rFonts w:asciiTheme="minorHAnsi" w:hAnsiTheme="minorHAnsi"/>
        </w:rPr>
        <w:t xml:space="preserve">survey </w:t>
      </w:r>
      <w:r w:rsidR="00B2565D" w:rsidRPr="00D12430">
        <w:rPr>
          <w:rFonts w:asciiTheme="minorHAnsi" w:hAnsiTheme="minorHAnsi"/>
        </w:rPr>
        <w:t>will ask your opinion on these and any suggestions you may have</w:t>
      </w:r>
      <w:r w:rsidR="00CF17D3" w:rsidRPr="00D12430">
        <w:rPr>
          <w:rFonts w:asciiTheme="minorHAnsi" w:hAnsiTheme="minorHAnsi"/>
        </w:rPr>
        <w:t xml:space="preserve"> for improvement.</w:t>
      </w:r>
    </w:p>
    <w:p w14:paraId="671CCA7E" w14:textId="77777777" w:rsidR="001C6996" w:rsidRPr="00D12430" w:rsidRDefault="001C6996" w:rsidP="00D12430">
      <w:pPr>
        <w:rPr>
          <w:rFonts w:asciiTheme="minorHAnsi" w:hAnsiTheme="minorHAnsi"/>
        </w:rPr>
      </w:pPr>
      <w:r w:rsidRPr="00D12430">
        <w:rPr>
          <w:rFonts w:asciiTheme="minorHAnsi" w:hAnsiTheme="minorHAnsi"/>
        </w:rPr>
        <w:t xml:space="preserve">We heard that fewer, better targeted strategies are needed for 2025-2034. We heard the new Plan should align with contemporary needs. </w:t>
      </w:r>
    </w:p>
    <w:p w14:paraId="2FAE6E6A" w14:textId="5377E932" w:rsidR="00FC1C1A" w:rsidRDefault="00FC1C1A" w:rsidP="00FC1C1A">
      <w:pPr>
        <w:pStyle w:val="Heading2"/>
      </w:pPr>
      <w:bookmarkStart w:id="6" w:name="_Toc204343552"/>
      <w:r>
        <w:t>How will we achieve the outcomes for 2034?</w:t>
      </w:r>
      <w:bookmarkEnd w:id="6"/>
      <w:r>
        <w:t xml:space="preserve"> </w:t>
      </w:r>
    </w:p>
    <w:p w14:paraId="5FB71DC0" w14:textId="0EEC70DC" w:rsidR="00FC1C1A" w:rsidRPr="00D12430" w:rsidRDefault="00FC1C1A" w:rsidP="00D12430">
      <w:pPr>
        <w:rPr>
          <w:rFonts w:asciiTheme="minorHAnsi" w:hAnsiTheme="minorHAnsi"/>
        </w:rPr>
      </w:pPr>
      <w:r>
        <w:rPr>
          <w:rFonts w:asciiTheme="minorHAnsi" w:hAnsiTheme="minorHAnsi"/>
        </w:rPr>
        <w:t xml:space="preserve">We heard that </w:t>
      </w:r>
      <w:r w:rsidR="00E5254D">
        <w:rPr>
          <w:rFonts w:asciiTheme="minorHAnsi" w:hAnsiTheme="minorHAnsi"/>
        </w:rPr>
        <w:t xml:space="preserve">the new plan should </w:t>
      </w:r>
      <w:r w:rsidR="004D5E8B" w:rsidRPr="004D5E8B">
        <w:rPr>
          <w:rFonts w:asciiTheme="minorHAnsi" w:hAnsiTheme="minorHAnsi"/>
        </w:rPr>
        <w:t>giv</w:t>
      </w:r>
      <w:r w:rsidR="00E5254D">
        <w:rPr>
          <w:rFonts w:asciiTheme="minorHAnsi" w:hAnsiTheme="minorHAnsi"/>
        </w:rPr>
        <w:t>e</w:t>
      </w:r>
      <w:r w:rsidR="004D5E8B" w:rsidRPr="004D5E8B">
        <w:rPr>
          <w:rFonts w:asciiTheme="minorHAnsi" w:hAnsiTheme="minorHAnsi"/>
        </w:rPr>
        <w:t xml:space="preserve"> local communities and governments the freedom to adapt it to their population needs and monitor progress over</w:t>
      </w:r>
      <w:r w:rsidR="00666E53">
        <w:rPr>
          <w:rFonts w:asciiTheme="minorHAnsi" w:hAnsiTheme="minorHAnsi"/>
        </w:rPr>
        <w:t xml:space="preserve"> </w:t>
      </w:r>
      <w:r w:rsidR="004D5E8B" w:rsidRPr="004D5E8B">
        <w:rPr>
          <w:rFonts w:asciiTheme="minorHAnsi" w:hAnsiTheme="minorHAnsi"/>
        </w:rPr>
        <w:t>time</w:t>
      </w:r>
      <w:r w:rsidR="00E5254D">
        <w:rPr>
          <w:rFonts w:asciiTheme="minorHAnsi" w:hAnsiTheme="minorHAnsi"/>
        </w:rPr>
        <w:t xml:space="preserve">. </w:t>
      </w:r>
      <w:r w:rsidR="006967C0">
        <w:rPr>
          <w:rFonts w:asciiTheme="minorHAnsi" w:hAnsiTheme="minorHAnsi"/>
        </w:rPr>
        <w:t xml:space="preserve">Example actions may be </w:t>
      </w:r>
      <w:r w:rsidR="00ED454A">
        <w:rPr>
          <w:rFonts w:asciiTheme="minorHAnsi" w:hAnsiTheme="minorHAnsi"/>
        </w:rPr>
        <w:t>useful, noting t</w:t>
      </w:r>
      <w:r w:rsidR="00674102">
        <w:rPr>
          <w:rFonts w:asciiTheme="minorHAnsi" w:hAnsiTheme="minorHAnsi"/>
        </w:rPr>
        <w:t xml:space="preserve">here can be many different </w:t>
      </w:r>
      <w:r w:rsidR="007E51A4">
        <w:rPr>
          <w:rFonts w:asciiTheme="minorHAnsi" w:hAnsiTheme="minorHAnsi"/>
        </w:rPr>
        <w:t>ways</w:t>
      </w:r>
      <w:r w:rsidR="00674102">
        <w:rPr>
          <w:rFonts w:asciiTheme="minorHAnsi" w:hAnsiTheme="minorHAnsi"/>
        </w:rPr>
        <w:t xml:space="preserve"> </w:t>
      </w:r>
      <w:r w:rsidR="00666E53">
        <w:rPr>
          <w:rFonts w:asciiTheme="minorHAnsi" w:hAnsiTheme="minorHAnsi"/>
        </w:rPr>
        <w:t>to achieve</w:t>
      </w:r>
      <w:r w:rsidR="00674102">
        <w:rPr>
          <w:rFonts w:asciiTheme="minorHAnsi" w:hAnsiTheme="minorHAnsi"/>
        </w:rPr>
        <w:t xml:space="preserve"> outcomes</w:t>
      </w:r>
      <w:r w:rsidR="0002071D">
        <w:rPr>
          <w:rFonts w:asciiTheme="minorHAnsi" w:hAnsiTheme="minorHAnsi"/>
        </w:rPr>
        <w:t xml:space="preserve">. </w:t>
      </w:r>
      <w:r w:rsidR="004E149E">
        <w:rPr>
          <w:rFonts w:asciiTheme="minorHAnsi" w:hAnsiTheme="minorHAnsi"/>
        </w:rPr>
        <w:t>A</w:t>
      </w:r>
      <w:r w:rsidR="00780509">
        <w:rPr>
          <w:rFonts w:asciiTheme="minorHAnsi" w:hAnsiTheme="minorHAnsi"/>
        </w:rPr>
        <w:t> </w:t>
      </w:r>
      <w:r w:rsidR="004E149E">
        <w:rPr>
          <w:rFonts w:asciiTheme="minorHAnsi" w:hAnsiTheme="minorHAnsi"/>
        </w:rPr>
        <w:t>monitoring and evaluation framework will be developed</w:t>
      </w:r>
      <w:r w:rsidR="007E208D">
        <w:rPr>
          <w:rFonts w:asciiTheme="minorHAnsi" w:hAnsiTheme="minorHAnsi"/>
        </w:rPr>
        <w:t xml:space="preserve"> to enable evaluation of the plan</w:t>
      </w:r>
      <w:r w:rsidR="000A70F9">
        <w:rPr>
          <w:rFonts w:asciiTheme="minorHAnsi" w:hAnsiTheme="minorHAnsi"/>
        </w:rPr>
        <w:t xml:space="preserve">. </w:t>
      </w:r>
    </w:p>
    <w:p w14:paraId="106A5ABB" w14:textId="77777777" w:rsidR="002D428E" w:rsidRPr="00D12430" w:rsidRDefault="002D428E" w:rsidP="00D12430">
      <w:pPr>
        <w:pStyle w:val="Heading2"/>
      </w:pPr>
      <w:bookmarkStart w:id="7" w:name="_Toc204343553"/>
      <w:r w:rsidRPr="00D12430">
        <w:t>Focus Area 1: Reduce Australia’s oral disease burden</w:t>
      </w:r>
      <w:bookmarkEnd w:id="7"/>
    </w:p>
    <w:p w14:paraId="10A6FFF6" w14:textId="53E08492" w:rsidR="002D428E" w:rsidRPr="00D12430" w:rsidRDefault="00A5566B" w:rsidP="00D12430">
      <w:pPr>
        <w:rPr>
          <w:rFonts w:asciiTheme="minorHAnsi" w:hAnsiTheme="minorHAnsi"/>
        </w:rPr>
      </w:pPr>
      <w:r>
        <w:rPr>
          <w:rFonts w:asciiTheme="minorHAnsi" w:hAnsiTheme="minorHAnsi"/>
        </w:rPr>
        <w:t>Many people in Australia have poor oral health</w:t>
      </w:r>
      <w:r w:rsidR="00D67EF2">
        <w:rPr>
          <w:rFonts w:asciiTheme="minorHAnsi" w:hAnsiTheme="minorHAnsi"/>
        </w:rPr>
        <w:t>, including gum disease, decayed teeth and other cond</w:t>
      </w:r>
      <w:r w:rsidR="003D5CC7">
        <w:rPr>
          <w:rFonts w:asciiTheme="minorHAnsi" w:hAnsiTheme="minorHAnsi"/>
        </w:rPr>
        <w:t>itions</w:t>
      </w:r>
      <w:r w:rsidR="002D428E" w:rsidRPr="00D12430">
        <w:rPr>
          <w:rFonts w:asciiTheme="minorHAnsi" w:hAnsiTheme="minorHAnsi"/>
        </w:rPr>
        <w:t>.</w:t>
      </w:r>
    </w:p>
    <w:tbl>
      <w:tblPr>
        <w:tblStyle w:val="TableGrid"/>
        <w:tblW w:w="0" w:type="auto"/>
        <w:tblLook w:val="04A0" w:firstRow="1" w:lastRow="0" w:firstColumn="1" w:lastColumn="0" w:noHBand="0" w:noVBand="1"/>
      </w:tblPr>
      <w:tblGrid>
        <w:gridCol w:w="3539"/>
        <w:gridCol w:w="5477"/>
      </w:tblGrid>
      <w:tr w:rsidR="002D428E" w:rsidRPr="00D62BA9" w14:paraId="7548FEA3" w14:textId="77777777" w:rsidTr="00D62BA9">
        <w:tc>
          <w:tcPr>
            <w:tcW w:w="9016" w:type="dxa"/>
            <w:gridSpan w:val="2"/>
            <w:shd w:val="clear" w:color="auto" w:fill="95DCF7" w:themeFill="accent4" w:themeFillTint="66"/>
          </w:tcPr>
          <w:p w14:paraId="71B62F7F" w14:textId="77777777" w:rsidR="002D428E" w:rsidRPr="00D62BA9" w:rsidRDefault="002D428E" w:rsidP="00D12430">
            <w:pPr>
              <w:rPr>
                <w:rFonts w:asciiTheme="minorHAnsi" w:hAnsiTheme="minorHAnsi"/>
                <w:b/>
                <w:bCs/>
              </w:rPr>
            </w:pPr>
            <w:r w:rsidRPr="00D62BA9">
              <w:rPr>
                <w:rFonts w:asciiTheme="minorHAnsi" w:hAnsiTheme="minorHAnsi"/>
                <w:b/>
                <w:bCs/>
              </w:rPr>
              <w:t>2034 outcomes</w:t>
            </w:r>
          </w:p>
        </w:tc>
      </w:tr>
      <w:tr w:rsidR="002D428E" w:rsidRPr="00D12430" w14:paraId="6B829E82" w14:textId="77777777" w:rsidTr="00D62BA9">
        <w:tc>
          <w:tcPr>
            <w:tcW w:w="3539" w:type="dxa"/>
            <w:shd w:val="clear" w:color="auto" w:fill="CAEDFB" w:themeFill="accent4" w:themeFillTint="33"/>
          </w:tcPr>
          <w:p w14:paraId="0C5DBBD0" w14:textId="68EAA524" w:rsidR="002D428E" w:rsidRPr="00D12430" w:rsidRDefault="00D62BA9" w:rsidP="00D12430">
            <w:pPr>
              <w:rPr>
                <w:rFonts w:asciiTheme="minorHAnsi" w:hAnsiTheme="minorHAnsi"/>
              </w:rPr>
            </w:pPr>
            <w:r>
              <w:rPr>
                <w:rFonts w:asciiTheme="minorHAnsi" w:hAnsiTheme="minorHAnsi"/>
              </w:rPr>
              <w:t xml:space="preserve">1.1 </w:t>
            </w:r>
            <w:r w:rsidR="002D428E" w:rsidRPr="00D12430">
              <w:rPr>
                <w:rFonts w:asciiTheme="minorHAnsi" w:hAnsiTheme="minorHAnsi"/>
              </w:rPr>
              <w:t>Reduced prevalence of oral diseases.</w:t>
            </w:r>
          </w:p>
        </w:tc>
        <w:tc>
          <w:tcPr>
            <w:tcW w:w="5477" w:type="dxa"/>
          </w:tcPr>
          <w:p w14:paraId="4B9871C9" w14:textId="77E9ECF8" w:rsidR="00270285" w:rsidRPr="00D12430" w:rsidRDefault="00270285" w:rsidP="00D12430">
            <w:pPr>
              <w:rPr>
                <w:rFonts w:asciiTheme="minorHAnsi" w:hAnsiTheme="minorHAnsi"/>
              </w:rPr>
            </w:pPr>
            <w:r w:rsidRPr="00D12430">
              <w:rPr>
                <w:rFonts w:asciiTheme="minorHAnsi" w:hAnsiTheme="minorHAnsi"/>
              </w:rPr>
              <w:t xml:space="preserve">Our examination of the current Plan and its key performance indicators showed the importance of an outcome devoted to reducing the prevalence of the main oral diseases in Australia. </w:t>
            </w:r>
          </w:p>
          <w:p w14:paraId="02FAD323" w14:textId="2BB7F756" w:rsidR="002D428E" w:rsidRPr="00D12430" w:rsidRDefault="002D428E" w:rsidP="00D12430">
            <w:pPr>
              <w:rPr>
                <w:rFonts w:asciiTheme="minorHAnsi" w:hAnsiTheme="minorHAnsi"/>
              </w:rPr>
            </w:pPr>
          </w:p>
        </w:tc>
      </w:tr>
      <w:tr w:rsidR="002D428E" w:rsidRPr="00D12430" w14:paraId="7468383F" w14:textId="77777777" w:rsidTr="00D62BA9">
        <w:tc>
          <w:tcPr>
            <w:tcW w:w="3539" w:type="dxa"/>
            <w:shd w:val="clear" w:color="auto" w:fill="CAEDFB" w:themeFill="accent4" w:themeFillTint="33"/>
          </w:tcPr>
          <w:p w14:paraId="0D07D54C" w14:textId="02E547D0" w:rsidR="002D428E" w:rsidRPr="00D12430" w:rsidRDefault="00D62BA9" w:rsidP="00D12430">
            <w:pPr>
              <w:rPr>
                <w:rFonts w:asciiTheme="minorHAnsi" w:hAnsiTheme="minorHAnsi"/>
              </w:rPr>
            </w:pPr>
            <w:r>
              <w:rPr>
                <w:rFonts w:asciiTheme="minorHAnsi" w:hAnsiTheme="minorHAnsi"/>
              </w:rPr>
              <w:t xml:space="preserve">1.2 </w:t>
            </w:r>
            <w:r w:rsidR="002D428E" w:rsidRPr="00D12430">
              <w:rPr>
                <w:rFonts w:asciiTheme="minorHAnsi" w:hAnsiTheme="minorHAnsi"/>
              </w:rPr>
              <w:t>Potentially preventable hospitalisations for oral conditions are reduced</w:t>
            </w:r>
            <w:r>
              <w:rPr>
                <w:rFonts w:asciiTheme="minorHAnsi" w:hAnsiTheme="minorHAnsi"/>
              </w:rPr>
              <w:t>.</w:t>
            </w:r>
          </w:p>
        </w:tc>
        <w:tc>
          <w:tcPr>
            <w:tcW w:w="5477" w:type="dxa"/>
          </w:tcPr>
          <w:p w14:paraId="008E7697" w14:textId="10E9B9E0" w:rsidR="002D428E" w:rsidRPr="00D12430" w:rsidRDefault="00A97486" w:rsidP="00D12430">
            <w:pPr>
              <w:rPr>
                <w:rFonts w:asciiTheme="minorHAnsi" w:hAnsiTheme="minorHAnsi"/>
              </w:rPr>
            </w:pPr>
            <w:r>
              <w:rPr>
                <w:rFonts w:asciiTheme="minorHAnsi" w:hAnsiTheme="minorHAnsi"/>
              </w:rPr>
              <w:t xml:space="preserve">We heard that there are a high number of people in hospital </w:t>
            </w:r>
            <w:r w:rsidR="00D252C1">
              <w:rPr>
                <w:rFonts w:asciiTheme="minorHAnsi" w:hAnsiTheme="minorHAnsi"/>
              </w:rPr>
              <w:t>for oral conditions</w:t>
            </w:r>
            <w:r w:rsidR="00A54B45">
              <w:rPr>
                <w:rFonts w:asciiTheme="minorHAnsi" w:hAnsiTheme="minorHAnsi"/>
              </w:rPr>
              <w:t>, where going to the hospital could have been avoided if the person’s condition had been managed better, earlier</w:t>
            </w:r>
            <w:r w:rsidR="00B51BF3">
              <w:rPr>
                <w:rFonts w:asciiTheme="minorHAnsi" w:hAnsiTheme="minorHAnsi"/>
              </w:rPr>
              <w:t xml:space="preserve">. </w:t>
            </w:r>
          </w:p>
        </w:tc>
      </w:tr>
    </w:tbl>
    <w:p w14:paraId="7486D0C4" w14:textId="3606FE19" w:rsidR="0051244C" w:rsidRPr="00D12430" w:rsidRDefault="0051244C" w:rsidP="00D12430">
      <w:pPr>
        <w:rPr>
          <w:rFonts w:asciiTheme="minorHAnsi" w:hAnsiTheme="minorHAnsi"/>
        </w:rPr>
      </w:pPr>
    </w:p>
    <w:p w14:paraId="5321B9A8" w14:textId="77777777" w:rsidR="00E3672D" w:rsidRDefault="00E3672D" w:rsidP="00D12430">
      <w:pPr>
        <w:pStyle w:val="Heading2"/>
        <w:sectPr w:rsidR="00E3672D" w:rsidSect="00EB4B52">
          <w:pgSz w:w="11906" w:h="16838"/>
          <w:pgMar w:top="1440" w:right="1440" w:bottom="1440" w:left="1440" w:header="708" w:footer="708" w:gutter="0"/>
          <w:cols w:space="708"/>
          <w:docGrid w:linePitch="360"/>
        </w:sectPr>
      </w:pPr>
    </w:p>
    <w:p w14:paraId="135B7807" w14:textId="0E519993" w:rsidR="0051244C" w:rsidRPr="00D12430" w:rsidRDefault="0051244C" w:rsidP="00D12430">
      <w:pPr>
        <w:pStyle w:val="Heading2"/>
      </w:pPr>
      <w:bookmarkStart w:id="8" w:name="_Toc204343554"/>
      <w:r w:rsidRPr="00D12430">
        <w:lastRenderedPageBreak/>
        <w:t>Focus Area</w:t>
      </w:r>
      <w:r w:rsidR="006B069A" w:rsidRPr="00D12430">
        <w:t xml:space="preserve"> 2</w:t>
      </w:r>
      <w:r w:rsidRPr="00D12430">
        <w:t>: Improve the effectiveness of oral health prevention and promotion</w:t>
      </w:r>
      <w:bookmarkEnd w:id="8"/>
    </w:p>
    <w:p w14:paraId="627A5109" w14:textId="1BB86A08" w:rsidR="008069F6" w:rsidRPr="00D12430" w:rsidRDefault="002903D7" w:rsidP="00D12430">
      <w:pPr>
        <w:rPr>
          <w:rFonts w:asciiTheme="minorHAnsi" w:hAnsiTheme="minorHAnsi"/>
        </w:rPr>
      </w:pPr>
      <w:bookmarkStart w:id="9" w:name="_Hlk188967087"/>
      <w:r>
        <w:rPr>
          <w:rFonts w:asciiTheme="minorHAnsi" w:hAnsiTheme="minorHAnsi"/>
        </w:rPr>
        <w:t>O</w:t>
      </w:r>
      <w:r w:rsidR="00C1299A" w:rsidRPr="00D12430">
        <w:rPr>
          <w:rFonts w:asciiTheme="minorHAnsi" w:hAnsiTheme="minorHAnsi"/>
        </w:rPr>
        <w:t xml:space="preserve">ral health prevention and promotion </w:t>
      </w:r>
      <w:r>
        <w:rPr>
          <w:rFonts w:asciiTheme="minorHAnsi" w:hAnsiTheme="minorHAnsi"/>
        </w:rPr>
        <w:t>can</w:t>
      </w:r>
      <w:r w:rsidR="00C1299A" w:rsidRPr="00D12430">
        <w:rPr>
          <w:rFonts w:asciiTheme="minorHAnsi" w:hAnsiTheme="minorHAnsi"/>
        </w:rPr>
        <w:t xml:space="preserve"> </w:t>
      </w:r>
      <w:r w:rsidR="00936F4F" w:rsidRPr="00D12430">
        <w:rPr>
          <w:rFonts w:asciiTheme="minorHAnsi" w:hAnsiTheme="minorHAnsi"/>
        </w:rPr>
        <w:t>reduc</w:t>
      </w:r>
      <w:r>
        <w:rPr>
          <w:rFonts w:asciiTheme="minorHAnsi" w:hAnsiTheme="minorHAnsi"/>
        </w:rPr>
        <w:t xml:space="preserve">e </w:t>
      </w:r>
      <w:r w:rsidR="00936F4F" w:rsidRPr="00D12430">
        <w:rPr>
          <w:rFonts w:asciiTheme="minorHAnsi" w:hAnsiTheme="minorHAnsi"/>
        </w:rPr>
        <w:t>the risk of oral disease</w:t>
      </w:r>
      <w:r w:rsidR="00370B7D">
        <w:rPr>
          <w:rFonts w:asciiTheme="minorHAnsi" w:hAnsiTheme="minorHAnsi"/>
        </w:rPr>
        <w:t xml:space="preserve">. This in turn reduces </w:t>
      </w:r>
      <w:r w:rsidR="001411CC">
        <w:rPr>
          <w:rFonts w:asciiTheme="minorHAnsi" w:hAnsiTheme="minorHAnsi"/>
        </w:rPr>
        <w:t xml:space="preserve">the need for costly treatment. </w:t>
      </w:r>
      <w:r>
        <w:rPr>
          <w:rFonts w:asciiTheme="minorHAnsi" w:hAnsiTheme="minorHAnsi"/>
        </w:rPr>
        <w:t>The outcomes below were identified by stakeholders as</w:t>
      </w:r>
      <w:r w:rsidR="005D3104">
        <w:rPr>
          <w:rFonts w:asciiTheme="minorHAnsi" w:hAnsiTheme="minorHAnsi"/>
        </w:rPr>
        <w:t xml:space="preserve"> </w:t>
      </w:r>
      <w:r w:rsidR="00E5244D">
        <w:rPr>
          <w:rFonts w:asciiTheme="minorHAnsi" w:hAnsiTheme="minorHAnsi"/>
        </w:rPr>
        <w:t>critical goals for 2025-2034.</w:t>
      </w:r>
      <w:r>
        <w:rPr>
          <w:rFonts w:asciiTheme="minorHAnsi" w:hAnsiTheme="minorHAnsi"/>
        </w:rPr>
        <w:t xml:space="preserve"> </w:t>
      </w:r>
    </w:p>
    <w:tbl>
      <w:tblPr>
        <w:tblStyle w:val="TableGrid"/>
        <w:tblW w:w="0" w:type="auto"/>
        <w:tblLook w:val="04A0" w:firstRow="1" w:lastRow="0" w:firstColumn="1" w:lastColumn="0" w:noHBand="0" w:noVBand="1"/>
      </w:tblPr>
      <w:tblGrid>
        <w:gridCol w:w="3539"/>
        <w:gridCol w:w="5477"/>
      </w:tblGrid>
      <w:tr w:rsidR="0051244C" w:rsidRPr="00D12430" w14:paraId="7679F34F" w14:textId="77777777" w:rsidTr="00B10CA1">
        <w:tc>
          <w:tcPr>
            <w:tcW w:w="9016" w:type="dxa"/>
            <w:gridSpan w:val="2"/>
            <w:shd w:val="clear" w:color="auto" w:fill="95DCF7" w:themeFill="accent4" w:themeFillTint="66"/>
          </w:tcPr>
          <w:p w14:paraId="3FE95BF7" w14:textId="77777777" w:rsidR="0051244C" w:rsidRPr="00B10CA1" w:rsidRDefault="0051244C" w:rsidP="00D12430">
            <w:pPr>
              <w:rPr>
                <w:rFonts w:asciiTheme="minorHAnsi" w:hAnsiTheme="minorHAnsi"/>
                <w:b/>
                <w:bCs/>
              </w:rPr>
            </w:pPr>
            <w:r w:rsidRPr="00B10CA1">
              <w:rPr>
                <w:rFonts w:asciiTheme="minorHAnsi" w:hAnsiTheme="minorHAnsi"/>
                <w:b/>
                <w:bCs/>
              </w:rPr>
              <w:t>2034 outcomes</w:t>
            </w:r>
          </w:p>
        </w:tc>
      </w:tr>
      <w:tr w:rsidR="0051244C" w:rsidRPr="00D12430" w14:paraId="054F40AF" w14:textId="77777777" w:rsidTr="007D6195">
        <w:tc>
          <w:tcPr>
            <w:tcW w:w="3539" w:type="dxa"/>
            <w:shd w:val="clear" w:color="auto" w:fill="CAEDFB" w:themeFill="accent4" w:themeFillTint="33"/>
          </w:tcPr>
          <w:p w14:paraId="369EB55D" w14:textId="78F9BAC3" w:rsidR="0051244C" w:rsidRPr="00D12430" w:rsidRDefault="007D6195" w:rsidP="00D12430">
            <w:pPr>
              <w:rPr>
                <w:rFonts w:asciiTheme="minorHAnsi" w:hAnsiTheme="minorHAnsi"/>
              </w:rPr>
            </w:pPr>
            <w:r>
              <w:rPr>
                <w:rFonts w:asciiTheme="minorHAnsi" w:hAnsiTheme="minorHAnsi"/>
              </w:rPr>
              <w:t xml:space="preserve">2.1 </w:t>
            </w:r>
            <w:r w:rsidR="0051244C" w:rsidRPr="00D12430">
              <w:rPr>
                <w:rFonts w:asciiTheme="minorHAnsi" w:hAnsiTheme="minorHAnsi"/>
              </w:rPr>
              <w:t xml:space="preserve">Healthy behaviours </w:t>
            </w:r>
            <w:r w:rsidR="00092D96" w:rsidRPr="00D12430">
              <w:rPr>
                <w:rFonts w:asciiTheme="minorHAnsi" w:hAnsiTheme="minorHAnsi"/>
              </w:rPr>
              <w:t xml:space="preserve">that improve oral health outcomes are promoted. </w:t>
            </w:r>
            <w:r w:rsidR="0051244C" w:rsidRPr="00D12430">
              <w:rPr>
                <w:rFonts w:asciiTheme="minorHAnsi" w:hAnsiTheme="minorHAnsi"/>
              </w:rPr>
              <w:t xml:space="preserve"> </w:t>
            </w:r>
          </w:p>
        </w:tc>
        <w:tc>
          <w:tcPr>
            <w:tcW w:w="5477" w:type="dxa"/>
          </w:tcPr>
          <w:p w14:paraId="6D974E31" w14:textId="726C55BA" w:rsidR="005D477C" w:rsidRPr="0002482E" w:rsidRDefault="0002482E" w:rsidP="005D477C">
            <w:pPr>
              <w:spacing w:after="160" w:line="259" w:lineRule="auto"/>
              <w:rPr>
                <w:rFonts w:asciiTheme="minorHAnsi" w:hAnsiTheme="minorHAnsi" w:cs="Arial"/>
              </w:rPr>
            </w:pPr>
            <w:r>
              <w:rPr>
                <w:rFonts w:asciiTheme="minorHAnsi" w:hAnsiTheme="minorHAnsi" w:cs="Arial"/>
              </w:rPr>
              <w:t>We heard that m</w:t>
            </w:r>
            <w:r w:rsidR="005D477C" w:rsidRPr="0002482E">
              <w:rPr>
                <w:rFonts w:asciiTheme="minorHAnsi" w:hAnsiTheme="minorHAnsi" w:cs="Arial"/>
              </w:rPr>
              <w:t xml:space="preserve">ost oral diseases and conditions are preventable </w:t>
            </w:r>
            <w:r w:rsidRPr="0002482E">
              <w:rPr>
                <w:rFonts w:asciiTheme="minorHAnsi" w:hAnsiTheme="minorHAnsi" w:cs="Arial"/>
              </w:rPr>
              <w:t xml:space="preserve">and can have </w:t>
            </w:r>
            <w:r w:rsidR="005D477C" w:rsidRPr="0002482E">
              <w:rPr>
                <w:rFonts w:asciiTheme="minorHAnsi" w:hAnsiTheme="minorHAnsi" w:cs="Arial"/>
              </w:rPr>
              <w:t xml:space="preserve">modifiable risk factors. These include tobacco use, alcohol consumption, and nutrition. Mouth and tooth injury may be reduced through modifiable behaviours such as wearing mouthguards for contact sports. </w:t>
            </w:r>
          </w:p>
          <w:p w14:paraId="01A07FB0" w14:textId="0DE516D6" w:rsidR="0051244C" w:rsidRPr="005D477C" w:rsidRDefault="005D477C" w:rsidP="005D477C">
            <w:pPr>
              <w:spacing w:after="160" w:line="259" w:lineRule="auto"/>
              <w:rPr>
                <w:rFonts w:cs="Arial"/>
              </w:rPr>
            </w:pPr>
            <w:r w:rsidRPr="0002482E">
              <w:rPr>
                <w:rFonts w:asciiTheme="minorHAnsi" w:hAnsiTheme="minorHAnsi" w:cs="Arial"/>
              </w:rPr>
              <w:t>Human papillomavirus (HPV) vaccination and sunscreen use may help reduce the risk of oral cancers.</w:t>
            </w:r>
          </w:p>
        </w:tc>
      </w:tr>
      <w:tr w:rsidR="00092D96" w:rsidRPr="00D12430" w14:paraId="019ED056" w14:textId="77777777" w:rsidTr="007D6195">
        <w:tc>
          <w:tcPr>
            <w:tcW w:w="3539" w:type="dxa"/>
            <w:shd w:val="clear" w:color="auto" w:fill="CAEDFB" w:themeFill="accent4" w:themeFillTint="33"/>
          </w:tcPr>
          <w:p w14:paraId="6A8EE51C" w14:textId="12058BF7" w:rsidR="00092D96" w:rsidRPr="00D12430" w:rsidRDefault="007D6195" w:rsidP="00D12430">
            <w:pPr>
              <w:rPr>
                <w:rFonts w:asciiTheme="minorHAnsi" w:hAnsiTheme="minorHAnsi"/>
              </w:rPr>
            </w:pPr>
            <w:r>
              <w:rPr>
                <w:rFonts w:asciiTheme="minorHAnsi" w:hAnsiTheme="minorHAnsi"/>
              </w:rPr>
              <w:t xml:space="preserve">2.2 </w:t>
            </w:r>
            <w:r w:rsidR="00092D96" w:rsidRPr="00D12430">
              <w:rPr>
                <w:rFonts w:asciiTheme="minorHAnsi" w:hAnsiTheme="minorHAnsi"/>
              </w:rPr>
              <w:t>Extend oral health promoting environments in key settings.</w:t>
            </w:r>
          </w:p>
        </w:tc>
        <w:tc>
          <w:tcPr>
            <w:tcW w:w="5477" w:type="dxa"/>
          </w:tcPr>
          <w:p w14:paraId="06F8609B" w14:textId="0D82D7DC" w:rsidR="00092D96" w:rsidRPr="00D12430" w:rsidRDefault="00092D96" w:rsidP="00D12430">
            <w:pPr>
              <w:rPr>
                <w:rFonts w:asciiTheme="minorHAnsi" w:hAnsiTheme="minorHAnsi"/>
              </w:rPr>
            </w:pPr>
            <w:r w:rsidRPr="00D12430">
              <w:rPr>
                <w:rFonts w:asciiTheme="minorHAnsi" w:hAnsiTheme="minorHAnsi"/>
              </w:rPr>
              <w:t xml:space="preserve">We heard there is a need for </w:t>
            </w:r>
            <w:r w:rsidR="00774CD5" w:rsidRPr="00D12430">
              <w:rPr>
                <w:rFonts w:asciiTheme="minorHAnsi" w:hAnsiTheme="minorHAnsi"/>
              </w:rPr>
              <w:t>settings</w:t>
            </w:r>
            <w:r w:rsidRPr="00D12430">
              <w:rPr>
                <w:rFonts w:asciiTheme="minorHAnsi" w:hAnsiTheme="minorHAnsi"/>
              </w:rPr>
              <w:t xml:space="preserve"> outside oral health </w:t>
            </w:r>
            <w:r w:rsidR="00774CD5" w:rsidRPr="00D12430">
              <w:rPr>
                <w:rFonts w:asciiTheme="minorHAnsi" w:hAnsiTheme="minorHAnsi"/>
              </w:rPr>
              <w:t>providers</w:t>
            </w:r>
            <w:r w:rsidRPr="00D12430">
              <w:rPr>
                <w:rFonts w:asciiTheme="minorHAnsi" w:hAnsiTheme="minorHAnsi"/>
              </w:rPr>
              <w:t xml:space="preserve"> to </w:t>
            </w:r>
            <w:r w:rsidR="002D01C5">
              <w:rPr>
                <w:rFonts w:asciiTheme="minorHAnsi" w:hAnsiTheme="minorHAnsi"/>
              </w:rPr>
              <w:t>promote</w:t>
            </w:r>
            <w:r w:rsidR="00774CD5" w:rsidRPr="00D12430">
              <w:rPr>
                <w:rFonts w:asciiTheme="minorHAnsi" w:hAnsiTheme="minorHAnsi"/>
              </w:rPr>
              <w:t xml:space="preserve"> oral health. </w:t>
            </w:r>
            <w:r w:rsidR="0043587D" w:rsidRPr="00D12430">
              <w:rPr>
                <w:rFonts w:asciiTheme="minorHAnsi" w:hAnsiTheme="minorHAnsi"/>
              </w:rPr>
              <w:t>For example</w:t>
            </w:r>
            <w:r w:rsidR="002D01C5">
              <w:rPr>
                <w:rFonts w:asciiTheme="minorHAnsi" w:hAnsiTheme="minorHAnsi"/>
              </w:rPr>
              <w:t>:</w:t>
            </w:r>
            <w:r w:rsidR="00774CD5" w:rsidRPr="00D12430">
              <w:rPr>
                <w:rFonts w:asciiTheme="minorHAnsi" w:hAnsiTheme="minorHAnsi"/>
              </w:rPr>
              <w:t xml:space="preserve"> </w:t>
            </w:r>
            <w:r w:rsidR="001610C5" w:rsidRPr="00D12430">
              <w:rPr>
                <w:rFonts w:asciiTheme="minorHAnsi" w:hAnsiTheme="minorHAnsi"/>
              </w:rPr>
              <w:t>within early learning and education settings, within general practice</w:t>
            </w:r>
            <w:r w:rsidR="0043587D" w:rsidRPr="00D12430">
              <w:rPr>
                <w:rFonts w:asciiTheme="minorHAnsi" w:hAnsiTheme="minorHAnsi"/>
              </w:rPr>
              <w:t>, within community pharmacy</w:t>
            </w:r>
            <w:r w:rsidR="006B069A" w:rsidRPr="00D12430">
              <w:rPr>
                <w:rFonts w:asciiTheme="minorHAnsi" w:hAnsiTheme="minorHAnsi"/>
              </w:rPr>
              <w:t xml:space="preserve"> and the community sector.</w:t>
            </w:r>
          </w:p>
        </w:tc>
      </w:tr>
      <w:tr w:rsidR="0051244C" w:rsidRPr="00D12430" w14:paraId="43AC324C" w14:textId="77777777" w:rsidTr="007D6195">
        <w:tc>
          <w:tcPr>
            <w:tcW w:w="3539" w:type="dxa"/>
            <w:shd w:val="clear" w:color="auto" w:fill="CAEDFB" w:themeFill="accent4" w:themeFillTint="33"/>
          </w:tcPr>
          <w:p w14:paraId="65BA39E0" w14:textId="7EDFD27C" w:rsidR="0051244C" w:rsidRPr="00D12430" w:rsidRDefault="007D6195" w:rsidP="00D12430">
            <w:pPr>
              <w:rPr>
                <w:rFonts w:asciiTheme="minorHAnsi" w:hAnsiTheme="minorHAnsi"/>
              </w:rPr>
            </w:pPr>
            <w:r>
              <w:rPr>
                <w:rFonts w:asciiTheme="minorHAnsi" w:hAnsiTheme="minorHAnsi"/>
              </w:rPr>
              <w:t xml:space="preserve">2.3 </w:t>
            </w:r>
            <w:r w:rsidR="0051244C" w:rsidRPr="00D12430">
              <w:rPr>
                <w:rFonts w:asciiTheme="minorHAnsi" w:hAnsiTheme="minorHAnsi"/>
              </w:rPr>
              <w:t>Improved oral health literacy.</w:t>
            </w:r>
          </w:p>
        </w:tc>
        <w:tc>
          <w:tcPr>
            <w:tcW w:w="5477" w:type="dxa"/>
          </w:tcPr>
          <w:p w14:paraId="344B3139" w14:textId="17424D80" w:rsidR="00C74141" w:rsidRPr="00D12430" w:rsidRDefault="0051244C" w:rsidP="00D12430">
            <w:pPr>
              <w:rPr>
                <w:rFonts w:asciiTheme="minorHAnsi" w:hAnsiTheme="minorHAnsi"/>
              </w:rPr>
            </w:pPr>
            <w:r w:rsidRPr="00D12430">
              <w:rPr>
                <w:rFonts w:asciiTheme="minorHAnsi" w:hAnsiTheme="minorHAnsi"/>
              </w:rPr>
              <w:t xml:space="preserve"> </w:t>
            </w:r>
            <w:r w:rsidR="00C74141">
              <w:rPr>
                <w:rFonts w:asciiTheme="minorHAnsi" w:hAnsiTheme="minorHAnsi"/>
              </w:rPr>
              <w:t xml:space="preserve">We heard that </w:t>
            </w:r>
            <w:r w:rsidR="00D92387">
              <w:rPr>
                <w:rFonts w:asciiTheme="minorHAnsi" w:hAnsiTheme="minorHAnsi"/>
              </w:rPr>
              <w:t>there are low levels of consumer understanding of oral</w:t>
            </w:r>
            <w:r w:rsidR="009969CC">
              <w:rPr>
                <w:rFonts w:asciiTheme="minorHAnsi" w:hAnsiTheme="minorHAnsi"/>
              </w:rPr>
              <w:t xml:space="preserve"> health</w:t>
            </w:r>
            <w:r w:rsidR="00A27EDD">
              <w:rPr>
                <w:rFonts w:asciiTheme="minorHAnsi" w:hAnsiTheme="minorHAnsi"/>
              </w:rPr>
              <w:t xml:space="preserve"> and </w:t>
            </w:r>
            <w:r w:rsidR="00E261FB">
              <w:rPr>
                <w:rFonts w:asciiTheme="minorHAnsi" w:hAnsiTheme="minorHAnsi"/>
              </w:rPr>
              <w:t>the connection between a healthy mouth and a healthy body</w:t>
            </w:r>
            <w:r w:rsidR="00C971AD">
              <w:rPr>
                <w:rFonts w:asciiTheme="minorHAnsi" w:hAnsiTheme="minorHAnsi"/>
              </w:rPr>
              <w:t xml:space="preserve">. </w:t>
            </w:r>
          </w:p>
        </w:tc>
      </w:tr>
      <w:tr w:rsidR="0051244C" w:rsidRPr="00D12430" w14:paraId="648B1CB3" w14:textId="77777777" w:rsidTr="007D6195">
        <w:tc>
          <w:tcPr>
            <w:tcW w:w="3539" w:type="dxa"/>
            <w:shd w:val="clear" w:color="auto" w:fill="CAEDFB" w:themeFill="accent4" w:themeFillTint="33"/>
          </w:tcPr>
          <w:p w14:paraId="3F782312" w14:textId="66AB2A7E" w:rsidR="0051244C" w:rsidRPr="00D12430" w:rsidRDefault="007D6195" w:rsidP="00D12430">
            <w:pPr>
              <w:rPr>
                <w:rFonts w:asciiTheme="minorHAnsi" w:hAnsiTheme="minorHAnsi"/>
              </w:rPr>
            </w:pPr>
            <w:r>
              <w:rPr>
                <w:rFonts w:asciiTheme="minorHAnsi" w:hAnsiTheme="minorHAnsi"/>
              </w:rPr>
              <w:t xml:space="preserve">2.4 </w:t>
            </w:r>
            <w:r w:rsidR="0051244C" w:rsidRPr="00D12430">
              <w:rPr>
                <w:rFonts w:asciiTheme="minorHAnsi" w:hAnsiTheme="minorHAnsi"/>
              </w:rPr>
              <w:t xml:space="preserve">Access to fluoridated water is </w:t>
            </w:r>
            <w:r w:rsidR="006B069A" w:rsidRPr="00D12430">
              <w:rPr>
                <w:rFonts w:asciiTheme="minorHAnsi" w:hAnsiTheme="minorHAnsi"/>
              </w:rPr>
              <w:t>increased</w:t>
            </w:r>
            <w:r w:rsidR="0051244C" w:rsidRPr="00D12430">
              <w:rPr>
                <w:rFonts w:asciiTheme="minorHAnsi" w:hAnsiTheme="minorHAnsi"/>
              </w:rPr>
              <w:t>.</w:t>
            </w:r>
          </w:p>
        </w:tc>
        <w:tc>
          <w:tcPr>
            <w:tcW w:w="5477" w:type="dxa"/>
          </w:tcPr>
          <w:p w14:paraId="7EE64FAA" w14:textId="685E202B" w:rsidR="0051244C" w:rsidRPr="00B12F6A" w:rsidRDefault="00892190" w:rsidP="00B12F6A">
            <w:pPr>
              <w:rPr>
                <w:rFonts w:asciiTheme="minorHAnsi" w:hAnsiTheme="minorHAnsi"/>
              </w:rPr>
            </w:pPr>
            <w:r w:rsidRPr="00B12F6A">
              <w:rPr>
                <w:rFonts w:asciiTheme="minorHAnsi" w:hAnsiTheme="minorHAnsi"/>
              </w:rPr>
              <w:t>Community water fluoridation is a safe, cost-effective and equitable initiative</w:t>
            </w:r>
            <w:r w:rsidR="002C1B09" w:rsidRPr="00B12F6A">
              <w:rPr>
                <w:rFonts w:asciiTheme="minorHAnsi" w:hAnsiTheme="minorHAnsi"/>
              </w:rPr>
              <w:t xml:space="preserve"> to help prevent tooth decay. </w:t>
            </w:r>
            <w:r w:rsidRPr="00B12F6A">
              <w:rPr>
                <w:rFonts w:asciiTheme="minorHAnsi" w:hAnsiTheme="minorHAnsi"/>
              </w:rPr>
              <w:t xml:space="preserve"> </w:t>
            </w:r>
          </w:p>
        </w:tc>
      </w:tr>
      <w:tr w:rsidR="0051244C" w:rsidRPr="00D12430" w14:paraId="2FA42430" w14:textId="77777777" w:rsidTr="007D6195">
        <w:tc>
          <w:tcPr>
            <w:tcW w:w="3539" w:type="dxa"/>
            <w:shd w:val="clear" w:color="auto" w:fill="CAEDFB" w:themeFill="accent4" w:themeFillTint="33"/>
          </w:tcPr>
          <w:p w14:paraId="47D8E741" w14:textId="2F093F7C" w:rsidR="0051244C" w:rsidRPr="00D12430" w:rsidRDefault="007D6195" w:rsidP="00D12430">
            <w:pPr>
              <w:rPr>
                <w:rFonts w:asciiTheme="minorHAnsi" w:hAnsiTheme="minorHAnsi"/>
              </w:rPr>
            </w:pPr>
            <w:r>
              <w:rPr>
                <w:rFonts w:asciiTheme="minorHAnsi" w:hAnsiTheme="minorHAnsi"/>
              </w:rPr>
              <w:t xml:space="preserve">2.5 </w:t>
            </w:r>
            <w:r w:rsidR="006B069A" w:rsidRPr="00D12430">
              <w:rPr>
                <w:rFonts w:asciiTheme="minorHAnsi" w:hAnsiTheme="minorHAnsi"/>
              </w:rPr>
              <w:t>Fluoride and fluoride programs are promoted.</w:t>
            </w:r>
          </w:p>
        </w:tc>
        <w:tc>
          <w:tcPr>
            <w:tcW w:w="5477" w:type="dxa"/>
          </w:tcPr>
          <w:p w14:paraId="672C757D" w14:textId="6BE16FC5" w:rsidR="0051244C" w:rsidRPr="00D12430" w:rsidRDefault="00A1433C" w:rsidP="00B12F6A">
            <w:pPr>
              <w:rPr>
                <w:rFonts w:asciiTheme="minorHAnsi" w:hAnsiTheme="minorHAnsi"/>
              </w:rPr>
            </w:pPr>
            <w:r>
              <w:rPr>
                <w:rFonts w:asciiTheme="minorHAnsi" w:hAnsiTheme="minorHAnsi"/>
              </w:rPr>
              <w:t xml:space="preserve">We heard that </w:t>
            </w:r>
            <w:r w:rsidRPr="00B12F6A">
              <w:rPr>
                <w:rFonts w:asciiTheme="minorHAnsi" w:hAnsiTheme="minorHAnsi"/>
              </w:rPr>
              <w:t>fluoride varnish, silver diamine fluoride, and fluoride toothpaste can improve oral health</w:t>
            </w:r>
            <w:r w:rsidR="00B12F6A" w:rsidRPr="00B12F6A">
              <w:rPr>
                <w:rFonts w:asciiTheme="minorHAnsi" w:hAnsiTheme="minorHAnsi"/>
              </w:rPr>
              <w:t xml:space="preserve">, in addition to community water fluoridation. </w:t>
            </w:r>
          </w:p>
        </w:tc>
      </w:tr>
      <w:tr w:rsidR="0051244C" w:rsidRPr="00D12430" w14:paraId="31F5F091" w14:textId="77777777" w:rsidTr="007D6195">
        <w:tc>
          <w:tcPr>
            <w:tcW w:w="3539" w:type="dxa"/>
            <w:shd w:val="clear" w:color="auto" w:fill="CAEDFB" w:themeFill="accent4" w:themeFillTint="33"/>
          </w:tcPr>
          <w:p w14:paraId="470D0EDE" w14:textId="6AB89B0B" w:rsidR="0051244C" w:rsidRPr="00D12430" w:rsidRDefault="007D6195" w:rsidP="00D12430">
            <w:pPr>
              <w:rPr>
                <w:rFonts w:asciiTheme="minorHAnsi" w:hAnsiTheme="minorHAnsi"/>
              </w:rPr>
            </w:pPr>
            <w:r>
              <w:rPr>
                <w:rFonts w:asciiTheme="minorHAnsi" w:hAnsiTheme="minorHAnsi"/>
              </w:rPr>
              <w:t xml:space="preserve">2.6 </w:t>
            </w:r>
            <w:r w:rsidR="006B069A" w:rsidRPr="00D12430">
              <w:rPr>
                <w:rFonts w:asciiTheme="minorHAnsi" w:hAnsiTheme="minorHAnsi"/>
              </w:rPr>
              <w:t>Extend policies and practices that reduce intake of sugar.</w:t>
            </w:r>
          </w:p>
        </w:tc>
        <w:tc>
          <w:tcPr>
            <w:tcW w:w="5477" w:type="dxa"/>
          </w:tcPr>
          <w:p w14:paraId="4A6DD6BD" w14:textId="77777777" w:rsidR="00493BE5" w:rsidRPr="00493BE5" w:rsidRDefault="00493BE5" w:rsidP="00493BE5">
            <w:pPr>
              <w:rPr>
                <w:rFonts w:asciiTheme="minorHAnsi" w:hAnsiTheme="minorHAnsi"/>
              </w:rPr>
            </w:pPr>
            <w:r w:rsidRPr="00493BE5">
              <w:rPr>
                <w:rFonts w:asciiTheme="minorHAnsi" w:hAnsiTheme="minorHAnsi"/>
              </w:rPr>
              <w:t>We heard that too many people consume more than the recommended amount of sugar.</w:t>
            </w:r>
          </w:p>
          <w:p w14:paraId="72D3FFED" w14:textId="77777777" w:rsidR="00493BE5" w:rsidRPr="00493BE5" w:rsidRDefault="00493BE5" w:rsidP="00493BE5">
            <w:pPr>
              <w:rPr>
                <w:rFonts w:asciiTheme="minorHAnsi" w:hAnsiTheme="minorHAnsi"/>
              </w:rPr>
            </w:pPr>
            <w:r w:rsidRPr="00493BE5">
              <w:rPr>
                <w:rFonts w:asciiTheme="minorHAnsi" w:hAnsiTheme="minorHAnsi"/>
              </w:rPr>
              <w:t xml:space="preserve">Sugar attracts bacteria that damage teeth. This can cause tooth decay.  This includes sugar added to foods by manufacturers, cooks, or consumers, as well as sugars naturally present in honey, syrups and fruit juices and fruit juice concentrates. </w:t>
            </w:r>
          </w:p>
          <w:p w14:paraId="5B0034C9" w14:textId="2C0156DB" w:rsidR="0051244C" w:rsidRPr="00D12430" w:rsidRDefault="0051244C" w:rsidP="00D12430">
            <w:pPr>
              <w:rPr>
                <w:rFonts w:asciiTheme="minorHAnsi" w:hAnsiTheme="minorHAnsi"/>
              </w:rPr>
            </w:pPr>
          </w:p>
        </w:tc>
      </w:tr>
      <w:bookmarkEnd w:id="9"/>
    </w:tbl>
    <w:p w14:paraId="03922231" w14:textId="77777777" w:rsidR="00B01575" w:rsidRPr="00D12430" w:rsidRDefault="00B01575" w:rsidP="00D12430">
      <w:pPr>
        <w:rPr>
          <w:rFonts w:asciiTheme="minorHAnsi" w:hAnsiTheme="minorHAnsi"/>
        </w:rPr>
      </w:pPr>
    </w:p>
    <w:p w14:paraId="4FDC3221" w14:textId="77777777" w:rsidR="00E3672D" w:rsidRDefault="00E3672D" w:rsidP="00D12430">
      <w:pPr>
        <w:pStyle w:val="Heading2"/>
        <w:sectPr w:rsidR="00E3672D" w:rsidSect="00EB4B52">
          <w:pgSz w:w="11906" w:h="16838"/>
          <w:pgMar w:top="1440" w:right="1440" w:bottom="1440" w:left="1440" w:header="708" w:footer="708" w:gutter="0"/>
          <w:cols w:space="708"/>
          <w:docGrid w:linePitch="360"/>
        </w:sectPr>
      </w:pPr>
    </w:p>
    <w:p w14:paraId="4909E6D2" w14:textId="521BD369" w:rsidR="00C1299A" w:rsidRPr="00D12430" w:rsidRDefault="00C1299A" w:rsidP="00D12430">
      <w:pPr>
        <w:pStyle w:val="Heading2"/>
      </w:pPr>
      <w:bookmarkStart w:id="10" w:name="_Toc204343555"/>
      <w:r w:rsidRPr="00D12430">
        <w:lastRenderedPageBreak/>
        <w:t xml:space="preserve">Focus Area 3: </w:t>
      </w:r>
      <w:r w:rsidR="009B7FD9">
        <w:t>Improve health outcomes and reduce the impact of poor oral health for Aboriginal and Torres Strait Islander people</w:t>
      </w:r>
      <w:bookmarkEnd w:id="10"/>
    </w:p>
    <w:p w14:paraId="3662A085" w14:textId="108A4707" w:rsidR="00730C16" w:rsidRDefault="009B7FD9" w:rsidP="00D12430">
      <w:pPr>
        <w:rPr>
          <w:rFonts w:asciiTheme="minorHAnsi" w:hAnsiTheme="minorHAnsi"/>
        </w:rPr>
      </w:pPr>
      <w:r>
        <w:rPr>
          <w:rFonts w:asciiTheme="minorHAnsi" w:hAnsiTheme="minorHAnsi"/>
        </w:rPr>
        <w:t>Text from the current (2015-2024) National Oral Health Plan has been included.</w:t>
      </w:r>
      <w:r w:rsidR="00437EB7" w:rsidRPr="00D12430">
        <w:rPr>
          <w:rFonts w:asciiTheme="minorHAnsi" w:hAnsiTheme="minorHAnsi"/>
        </w:rPr>
        <w:t xml:space="preserve"> </w:t>
      </w:r>
      <w:r w:rsidR="000914FD" w:rsidRPr="00D12430">
        <w:rPr>
          <w:rFonts w:asciiTheme="minorHAnsi" w:hAnsiTheme="minorHAnsi"/>
        </w:rPr>
        <w:t xml:space="preserve">Content for this focus area will </w:t>
      </w:r>
      <w:r w:rsidR="00E70A66" w:rsidRPr="00D12430">
        <w:rPr>
          <w:rFonts w:asciiTheme="minorHAnsi" w:hAnsiTheme="minorHAnsi"/>
        </w:rPr>
        <w:t xml:space="preserve">be informed by First Nations engagement </w:t>
      </w:r>
      <w:r w:rsidR="003E3B0F" w:rsidRPr="00D12430">
        <w:rPr>
          <w:rFonts w:asciiTheme="minorHAnsi" w:hAnsiTheme="minorHAnsi"/>
        </w:rPr>
        <w:t xml:space="preserve">currently underway. </w:t>
      </w:r>
    </w:p>
    <w:tbl>
      <w:tblPr>
        <w:tblStyle w:val="TableGrid"/>
        <w:tblW w:w="0" w:type="auto"/>
        <w:tblLook w:val="04A0" w:firstRow="1" w:lastRow="0" w:firstColumn="1" w:lastColumn="0" w:noHBand="0" w:noVBand="1"/>
      </w:tblPr>
      <w:tblGrid>
        <w:gridCol w:w="9016"/>
      </w:tblGrid>
      <w:tr w:rsidR="00730C16" w:rsidRPr="00B10CA1" w14:paraId="4D5DAC36" w14:textId="77777777" w:rsidTr="00730C16">
        <w:tc>
          <w:tcPr>
            <w:tcW w:w="9016" w:type="dxa"/>
          </w:tcPr>
          <w:p w14:paraId="05DEBF4D" w14:textId="77777777" w:rsidR="00730C16" w:rsidRPr="0026652C" w:rsidRDefault="00730C16" w:rsidP="00364AEC">
            <w:pPr>
              <w:spacing w:before="120" w:after="120"/>
              <w:rPr>
                <w:rFonts w:asciiTheme="minorHAnsi" w:hAnsiTheme="minorHAnsi"/>
              </w:rPr>
            </w:pPr>
            <w:r>
              <w:rPr>
                <w:rFonts w:asciiTheme="minorHAnsi" w:hAnsiTheme="minorHAnsi"/>
                <w:b/>
                <w:bCs/>
              </w:rPr>
              <w:t>Key strategies (</w:t>
            </w:r>
            <w:r>
              <w:rPr>
                <w:rFonts w:asciiTheme="minorHAnsi" w:hAnsiTheme="minorHAnsi"/>
              </w:rPr>
              <w:t>2015-2024 National Oral Health Plan)</w:t>
            </w:r>
          </w:p>
        </w:tc>
      </w:tr>
      <w:tr w:rsidR="00730C16" w:rsidRPr="00D12430" w14:paraId="49C85F00" w14:textId="77777777" w:rsidTr="00730C16">
        <w:tc>
          <w:tcPr>
            <w:tcW w:w="9016" w:type="dxa"/>
          </w:tcPr>
          <w:p w14:paraId="1DA47926" w14:textId="77777777" w:rsidR="00730C16" w:rsidRPr="00D12430" w:rsidRDefault="00730C16" w:rsidP="00364AEC">
            <w:pPr>
              <w:spacing w:before="120" w:after="120"/>
              <w:rPr>
                <w:rFonts w:asciiTheme="minorHAnsi" w:hAnsiTheme="minorHAnsi"/>
              </w:rPr>
            </w:pPr>
            <w:r>
              <w:rPr>
                <w:rFonts w:asciiTheme="minorHAnsi" w:hAnsiTheme="minorHAnsi"/>
              </w:rPr>
              <w:t>1. Increase community engagement in the planning and delivery of oral health services.</w:t>
            </w:r>
          </w:p>
        </w:tc>
      </w:tr>
      <w:tr w:rsidR="00730C16" w:rsidRPr="00D12430" w14:paraId="15D6A685" w14:textId="77777777" w:rsidTr="00730C16">
        <w:tc>
          <w:tcPr>
            <w:tcW w:w="9016" w:type="dxa"/>
          </w:tcPr>
          <w:p w14:paraId="26F165AF" w14:textId="77777777" w:rsidR="00730C16" w:rsidRPr="00D12430" w:rsidRDefault="00730C16" w:rsidP="00364AEC">
            <w:pPr>
              <w:spacing w:before="120" w:after="120"/>
              <w:rPr>
                <w:rFonts w:asciiTheme="minorHAnsi" w:hAnsiTheme="minorHAnsi"/>
              </w:rPr>
            </w:pPr>
            <w:r>
              <w:rPr>
                <w:rFonts w:asciiTheme="minorHAnsi" w:hAnsiTheme="minorHAnsi"/>
              </w:rPr>
              <w:t xml:space="preserve">2. Promote the incorporation of cultural competency across training, education and assessment, clinical management protocols and guidelines. </w:t>
            </w:r>
          </w:p>
        </w:tc>
      </w:tr>
      <w:tr w:rsidR="00730C16" w:rsidRPr="00D12430" w14:paraId="47CDFBBA" w14:textId="77777777" w:rsidTr="00730C16">
        <w:tc>
          <w:tcPr>
            <w:tcW w:w="9016" w:type="dxa"/>
          </w:tcPr>
          <w:p w14:paraId="66BEFBC7" w14:textId="77777777" w:rsidR="00730C16" w:rsidRDefault="00730C16" w:rsidP="00364AEC">
            <w:pPr>
              <w:spacing w:before="120" w:after="120"/>
              <w:rPr>
                <w:rFonts w:asciiTheme="minorHAnsi" w:hAnsiTheme="minorHAnsi"/>
              </w:rPr>
            </w:pPr>
            <w:r>
              <w:rPr>
                <w:rFonts w:asciiTheme="minorHAnsi" w:hAnsiTheme="minorHAnsi"/>
              </w:rPr>
              <w:t xml:space="preserve">3. Develop integrated models of care that incorporate oral health education, prevention and screening with other primary care services. </w:t>
            </w:r>
          </w:p>
        </w:tc>
      </w:tr>
      <w:tr w:rsidR="00730C16" w:rsidRPr="00D12430" w14:paraId="3B41A302" w14:textId="77777777" w:rsidTr="00730C16">
        <w:tc>
          <w:tcPr>
            <w:tcW w:w="9016" w:type="dxa"/>
          </w:tcPr>
          <w:p w14:paraId="443EE0C4" w14:textId="77777777" w:rsidR="00730C16" w:rsidRDefault="00730C16" w:rsidP="00364AEC">
            <w:pPr>
              <w:spacing w:before="120" w:after="120"/>
              <w:rPr>
                <w:rFonts w:asciiTheme="minorHAnsi" w:hAnsiTheme="minorHAnsi"/>
              </w:rPr>
            </w:pPr>
            <w:r>
              <w:rPr>
                <w:rFonts w:asciiTheme="minorHAnsi" w:hAnsiTheme="minorHAnsi"/>
              </w:rPr>
              <w:t xml:space="preserve">4. Increase the representation and engagement of Aboriginal and Torres Strait Islander people in the oral health workforce. </w:t>
            </w:r>
          </w:p>
        </w:tc>
      </w:tr>
      <w:tr w:rsidR="00730C16" w:rsidRPr="00D12430" w14:paraId="7B1CD8F7" w14:textId="77777777" w:rsidTr="00730C16">
        <w:tc>
          <w:tcPr>
            <w:tcW w:w="9016" w:type="dxa"/>
          </w:tcPr>
          <w:p w14:paraId="60175B77" w14:textId="77777777" w:rsidR="00730C16" w:rsidRDefault="00730C16" w:rsidP="00364AEC">
            <w:pPr>
              <w:spacing w:before="120" w:after="120"/>
              <w:rPr>
                <w:rFonts w:asciiTheme="minorHAnsi" w:hAnsiTheme="minorHAnsi"/>
              </w:rPr>
            </w:pPr>
            <w:r>
              <w:rPr>
                <w:rFonts w:asciiTheme="minorHAnsi" w:hAnsiTheme="minorHAnsi"/>
              </w:rPr>
              <w:t xml:space="preserve">5. Expand existing primary health practice incentives and funding adjustments for oral health services for Aboriginal and Torres Strait Islander people. </w:t>
            </w:r>
          </w:p>
        </w:tc>
      </w:tr>
    </w:tbl>
    <w:p w14:paraId="44C6C91C" w14:textId="77777777" w:rsidR="00D807B6" w:rsidRPr="00D12430" w:rsidRDefault="00D807B6" w:rsidP="00D12430">
      <w:pPr>
        <w:rPr>
          <w:rFonts w:asciiTheme="minorHAnsi" w:hAnsiTheme="minorHAnsi"/>
        </w:rPr>
      </w:pPr>
    </w:p>
    <w:p w14:paraId="71F1F095" w14:textId="5EFD2A3A" w:rsidR="0005346A" w:rsidRPr="00D12430" w:rsidRDefault="0005346A" w:rsidP="00D12430">
      <w:pPr>
        <w:pStyle w:val="Heading2"/>
      </w:pPr>
      <w:bookmarkStart w:id="11" w:name="_Toc204343556"/>
      <w:r w:rsidRPr="00D12430">
        <w:t>Focus Area 4: Improve equity of oral health access</w:t>
      </w:r>
      <w:bookmarkEnd w:id="11"/>
      <w:r w:rsidRPr="00D12430">
        <w:t xml:space="preserve"> </w:t>
      </w:r>
    </w:p>
    <w:p w14:paraId="15D9C769" w14:textId="7C76FBA5" w:rsidR="00FE383B" w:rsidRPr="00617560" w:rsidRDefault="004C6C76" w:rsidP="00D12430">
      <w:pPr>
        <w:rPr>
          <w:rFonts w:asciiTheme="minorHAnsi" w:hAnsiTheme="minorHAnsi" w:cs="Arial"/>
        </w:rPr>
      </w:pPr>
      <w:r w:rsidRPr="004C6C76">
        <w:rPr>
          <w:rFonts w:asciiTheme="minorHAnsi" w:hAnsiTheme="minorHAnsi" w:cs="Arial"/>
        </w:rPr>
        <w:t xml:space="preserve">In Australia, socio-economic factors are the greatest cause of inequity for consumer oral health access and outcomes. </w:t>
      </w:r>
    </w:p>
    <w:tbl>
      <w:tblPr>
        <w:tblStyle w:val="TableGrid"/>
        <w:tblW w:w="0" w:type="auto"/>
        <w:tblLook w:val="04A0" w:firstRow="1" w:lastRow="0" w:firstColumn="1" w:lastColumn="0" w:noHBand="0" w:noVBand="1"/>
      </w:tblPr>
      <w:tblGrid>
        <w:gridCol w:w="3539"/>
        <w:gridCol w:w="5477"/>
      </w:tblGrid>
      <w:tr w:rsidR="0005346A" w:rsidRPr="00D12430" w14:paraId="68A4C3B6" w14:textId="77777777" w:rsidTr="00B10CA1">
        <w:tc>
          <w:tcPr>
            <w:tcW w:w="9016" w:type="dxa"/>
            <w:gridSpan w:val="2"/>
            <w:shd w:val="clear" w:color="auto" w:fill="95DCF7" w:themeFill="accent4" w:themeFillTint="66"/>
          </w:tcPr>
          <w:p w14:paraId="1B21541E" w14:textId="77777777" w:rsidR="0005346A" w:rsidRPr="00B10CA1" w:rsidRDefault="0005346A" w:rsidP="00D12430">
            <w:pPr>
              <w:rPr>
                <w:rFonts w:asciiTheme="minorHAnsi" w:hAnsiTheme="minorHAnsi"/>
                <w:b/>
                <w:bCs/>
              </w:rPr>
            </w:pPr>
            <w:r w:rsidRPr="00B10CA1">
              <w:rPr>
                <w:rFonts w:asciiTheme="minorHAnsi" w:hAnsiTheme="minorHAnsi"/>
                <w:b/>
                <w:bCs/>
              </w:rPr>
              <w:t>2034 outcomes</w:t>
            </w:r>
          </w:p>
        </w:tc>
      </w:tr>
      <w:tr w:rsidR="001F1582" w:rsidRPr="00D12430" w14:paraId="76F348AD" w14:textId="77777777" w:rsidTr="00720059">
        <w:tc>
          <w:tcPr>
            <w:tcW w:w="3539" w:type="dxa"/>
            <w:shd w:val="clear" w:color="auto" w:fill="CAEDFB" w:themeFill="accent4" w:themeFillTint="33"/>
          </w:tcPr>
          <w:p w14:paraId="30126CAC" w14:textId="667128AC" w:rsidR="00290A4C" w:rsidRPr="00D12430" w:rsidRDefault="00720059" w:rsidP="00D12430">
            <w:pPr>
              <w:rPr>
                <w:rFonts w:asciiTheme="minorHAnsi" w:hAnsiTheme="minorHAnsi"/>
              </w:rPr>
            </w:pPr>
            <w:r>
              <w:rPr>
                <w:rFonts w:asciiTheme="minorHAnsi" w:hAnsiTheme="minorHAnsi"/>
              </w:rPr>
              <w:t xml:space="preserve">4.1 </w:t>
            </w:r>
            <w:r w:rsidR="00290A4C" w:rsidRPr="00D12430">
              <w:rPr>
                <w:rFonts w:asciiTheme="minorHAnsi" w:hAnsiTheme="minorHAnsi"/>
              </w:rPr>
              <w:t>Reduced disparity of oral health care access due to geographical location.</w:t>
            </w:r>
          </w:p>
          <w:p w14:paraId="2C30DA79" w14:textId="77777777" w:rsidR="001F1582" w:rsidRPr="00D12430" w:rsidRDefault="001F1582" w:rsidP="00D12430">
            <w:pPr>
              <w:rPr>
                <w:rFonts w:asciiTheme="minorHAnsi" w:hAnsiTheme="minorHAnsi"/>
              </w:rPr>
            </w:pPr>
          </w:p>
        </w:tc>
        <w:tc>
          <w:tcPr>
            <w:tcW w:w="5477" w:type="dxa"/>
          </w:tcPr>
          <w:p w14:paraId="693A26E7" w14:textId="5F008629" w:rsidR="001F1582" w:rsidRPr="00D12430" w:rsidRDefault="0084590E" w:rsidP="00D12430">
            <w:pPr>
              <w:rPr>
                <w:rFonts w:asciiTheme="minorHAnsi" w:hAnsiTheme="minorHAnsi"/>
              </w:rPr>
            </w:pPr>
            <w:r w:rsidRPr="00D12430">
              <w:rPr>
                <w:rFonts w:asciiTheme="minorHAnsi" w:hAnsiTheme="minorHAnsi"/>
              </w:rPr>
              <w:t xml:space="preserve">We heard that people in regional, rural and remote Australia </w:t>
            </w:r>
            <w:r w:rsidR="00EB25A4" w:rsidRPr="00D12430">
              <w:rPr>
                <w:rFonts w:asciiTheme="minorHAnsi" w:hAnsiTheme="minorHAnsi"/>
              </w:rPr>
              <w:t>have poorer access to oral health care</w:t>
            </w:r>
            <w:r w:rsidR="00BD3AE2" w:rsidRPr="00D12430">
              <w:rPr>
                <w:rFonts w:asciiTheme="minorHAnsi" w:hAnsiTheme="minorHAnsi"/>
              </w:rPr>
              <w:t xml:space="preserve"> than people living in metropolitan areas.</w:t>
            </w:r>
          </w:p>
        </w:tc>
      </w:tr>
      <w:tr w:rsidR="009C45DC" w:rsidRPr="00D12430" w14:paraId="3B102602" w14:textId="77777777" w:rsidTr="00720059">
        <w:tc>
          <w:tcPr>
            <w:tcW w:w="3539" w:type="dxa"/>
            <w:shd w:val="clear" w:color="auto" w:fill="CAEDFB" w:themeFill="accent4" w:themeFillTint="33"/>
          </w:tcPr>
          <w:p w14:paraId="39D8DA63" w14:textId="310CABCF" w:rsidR="009C45DC" w:rsidRPr="00D12430" w:rsidRDefault="00720059" w:rsidP="00D12430">
            <w:pPr>
              <w:rPr>
                <w:rFonts w:asciiTheme="minorHAnsi" w:hAnsiTheme="minorHAnsi"/>
              </w:rPr>
            </w:pPr>
            <w:r>
              <w:rPr>
                <w:rFonts w:asciiTheme="minorHAnsi" w:hAnsiTheme="minorHAnsi"/>
              </w:rPr>
              <w:t xml:space="preserve">4.2 </w:t>
            </w:r>
            <w:r w:rsidR="005C72ED" w:rsidRPr="00D12430">
              <w:rPr>
                <w:rFonts w:asciiTheme="minorHAnsi" w:hAnsiTheme="minorHAnsi"/>
              </w:rPr>
              <w:t xml:space="preserve">Improved </w:t>
            </w:r>
            <w:r w:rsidR="00032EE9">
              <w:rPr>
                <w:rFonts w:asciiTheme="minorHAnsi" w:hAnsiTheme="minorHAnsi"/>
              </w:rPr>
              <w:t xml:space="preserve">sustainability and </w:t>
            </w:r>
            <w:r w:rsidR="005C72ED" w:rsidRPr="00D12430">
              <w:rPr>
                <w:rFonts w:asciiTheme="minorHAnsi" w:hAnsiTheme="minorHAnsi"/>
              </w:rPr>
              <w:t>availability of resources to address oral health</w:t>
            </w:r>
            <w:r w:rsidR="000D49B1">
              <w:rPr>
                <w:rFonts w:asciiTheme="minorHAnsi" w:hAnsiTheme="minorHAnsi"/>
              </w:rPr>
              <w:t xml:space="preserve"> </w:t>
            </w:r>
            <w:r w:rsidR="000D49B1" w:rsidRPr="003A53B8">
              <w:rPr>
                <w:rFonts w:asciiTheme="minorHAnsi" w:hAnsiTheme="minorHAnsi"/>
              </w:rPr>
              <w:t>access</w:t>
            </w:r>
            <w:r w:rsidR="005C72ED" w:rsidRPr="003A53B8">
              <w:rPr>
                <w:rFonts w:asciiTheme="minorHAnsi" w:hAnsiTheme="minorHAnsi"/>
              </w:rPr>
              <w:t xml:space="preserve"> </w:t>
            </w:r>
            <w:r w:rsidR="005C72ED" w:rsidRPr="00D12430">
              <w:rPr>
                <w:rFonts w:asciiTheme="minorHAnsi" w:hAnsiTheme="minorHAnsi"/>
              </w:rPr>
              <w:t>inequalities</w:t>
            </w:r>
            <w:r w:rsidR="00DC6BCE" w:rsidRPr="00D12430">
              <w:rPr>
                <w:rFonts w:asciiTheme="minorHAnsi" w:hAnsiTheme="minorHAnsi"/>
              </w:rPr>
              <w:t>.</w:t>
            </w:r>
          </w:p>
        </w:tc>
        <w:tc>
          <w:tcPr>
            <w:tcW w:w="5477" w:type="dxa"/>
          </w:tcPr>
          <w:p w14:paraId="4F3EE626" w14:textId="3CC71656" w:rsidR="009C45DC" w:rsidRPr="00D12430" w:rsidRDefault="00EF5D66" w:rsidP="00D12430">
            <w:pPr>
              <w:rPr>
                <w:rFonts w:asciiTheme="minorHAnsi" w:hAnsiTheme="minorHAnsi"/>
              </w:rPr>
            </w:pPr>
            <w:r w:rsidRPr="00D12430">
              <w:rPr>
                <w:rFonts w:asciiTheme="minorHAnsi" w:hAnsiTheme="minorHAnsi"/>
              </w:rPr>
              <w:t>We heard tha</w:t>
            </w:r>
            <w:r w:rsidR="00241130" w:rsidRPr="00D12430">
              <w:rPr>
                <w:rFonts w:asciiTheme="minorHAnsi" w:hAnsiTheme="minorHAnsi"/>
              </w:rPr>
              <w:t xml:space="preserve">t </w:t>
            </w:r>
            <w:r w:rsidR="00C24A86">
              <w:rPr>
                <w:rFonts w:asciiTheme="minorHAnsi" w:hAnsiTheme="minorHAnsi"/>
              </w:rPr>
              <w:t>there is a need to</w:t>
            </w:r>
            <w:r w:rsidR="00FA5EBC" w:rsidRPr="00D12430">
              <w:rPr>
                <w:rFonts w:asciiTheme="minorHAnsi" w:hAnsiTheme="minorHAnsi"/>
              </w:rPr>
              <w:t xml:space="preserve"> ensure programs </w:t>
            </w:r>
            <w:r w:rsidR="005E7E87" w:rsidRPr="00D12430">
              <w:rPr>
                <w:rFonts w:asciiTheme="minorHAnsi" w:hAnsiTheme="minorHAnsi"/>
              </w:rPr>
              <w:t xml:space="preserve">that progress equitable and affordable access to oral health care are implemented, promoted and maintained. </w:t>
            </w:r>
          </w:p>
        </w:tc>
      </w:tr>
      <w:tr w:rsidR="005C72ED" w:rsidRPr="00D12430" w14:paraId="45A9BCB1" w14:textId="77777777" w:rsidTr="00720059">
        <w:tc>
          <w:tcPr>
            <w:tcW w:w="3539" w:type="dxa"/>
            <w:shd w:val="clear" w:color="auto" w:fill="CAEDFB" w:themeFill="accent4" w:themeFillTint="33"/>
          </w:tcPr>
          <w:p w14:paraId="18A5FCB9" w14:textId="19266AAB" w:rsidR="00DC6BCE" w:rsidRPr="00D12430" w:rsidRDefault="00720059" w:rsidP="00D12430">
            <w:pPr>
              <w:rPr>
                <w:rFonts w:asciiTheme="minorHAnsi" w:hAnsiTheme="minorHAnsi"/>
              </w:rPr>
            </w:pPr>
            <w:r>
              <w:rPr>
                <w:rFonts w:asciiTheme="minorHAnsi" w:hAnsiTheme="minorHAnsi"/>
              </w:rPr>
              <w:t xml:space="preserve">4.3 </w:t>
            </w:r>
            <w:r w:rsidR="00DC6BCE" w:rsidRPr="00D12430">
              <w:rPr>
                <w:rFonts w:asciiTheme="minorHAnsi" w:hAnsiTheme="minorHAnsi"/>
              </w:rPr>
              <w:t>Reduced waiting times for public dental programs.</w:t>
            </w:r>
          </w:p>
          <w:p w14:paraId="25919AB4" w14:textId="77777777" w:rsidR="005C72ED" w:rsidRPr="00D12430" w:rsidRDefault="005C72ED" w:rsidP="00D12430">
            <w:pPr>
              <w:rPr>
                <w:rFonts w:asciiTheme="minorHAnsi" w:hAnsiTheme="minorHAnsi"/>
              </w:rPr>
            </w:pPr>
          </w:p>
        </w:tc>
        <w:tc>
          <w:tcPr>
            <w:tcW w:w="5477" w:type="dxa"/>
          </w:tcPr>
          <w:p w14:paraId="5DE8C3BB" w14:textId="422D5978" w:rsidR="005C72ED" w:rsidRPr="00D12430" w:rsidRDefault="003306CE" w:rsidP="00D12430">
            <w:pPr>
              <w:rPr>
                <w:rFonts w:asciiTheme="minorHAnsi" w:hAnsiTheme="minorHAnsi"/>
              </w:rPr>
            </w:pPr>
            <w:r w:rsidRPr="00D12430">
              <w:rPr>
                <w:rFonts w:asciiTheme="minorHAnsi" w:hAnsiTheme="minorHAnsi"/>
              </w:rPr>
              <w:t>Stakeholder consultations noted that waiting times for public oral health services can be long.</w:t>
            </w:r>
          </w:p>
        </w:tc>
      </w:tr>
      <w:tr w:rsidR="0086430A" w:rsidRPr="00D12430" w14:paraId="419E0AC5" w14:textId="77777777" w:rsidTr="00720059">
        <w:tc>
          <w:tcPr>
            <w:tcW w:w="3539" w:type="dxa"/>
            <w:shd w:val="clear" w:color="auto" w:fill="CAEDFB" w:themeFill="accent4" w:themeFillTint="33"/>
          </w:tcPr>
          <w:p w14:paraId="55A964B1" w14:textId="7C88D05F" w:rsidR="0086430A" w:rsidRDefault="0086430A" w:rsidP="00D12430">
            <w:pPr>
              <w:rPr>
                <w:rFonts w:asciiTheme="minorHAnsi" w:hAnsiTheme="minorHAnsi"/>
              </w:rPr>
            </w:pPr>
            <w:r w:rsidRPr="0086430A">
              <w:rPr>
                <w:rFonts w:asciiTheme="minorHAnsi" w:hAnsiTheme="minorHAnsi"/>
              </w:rPr>
              <w:t>4.4 Improved oral health outcomes for groups with higher burden of disease and more difficulty accessing oral health care, for example</w:t>
            </w:r>
            <w:r w:rsidR="00731ECC">
              <w:rPr>
                <w:rFonts w:asciiTheme="minorHAnsi" w:hAnsiTheme="minorHAnsi"/>
              </w:rPr>
              <w:t xml:space="preserve"> older</w:t>
            </w:r>
            <w:r w:rsidRPr="0086430A">
              <w:rPr>
                <w:rFonts w:asciiTheme="minorHAnsi" w:hAnsiTheme="minorHAnsi"/>
              </w:rPr>
              <w:t xml:space="preserve"> people and people with disabilit</w:t>
            </w:r>
            <w:r w:rsidR="001C00C1">
              <w:rPr>
                <w:rFonts w:asciiTheme="minorHAnsi" w:hAnsiTheme="minorHAnsi"/>
              </w:rPr>
              <w:t>y</w:t>
            </w:r>
            <w:r w:rsidRPr="0086430A">
              <w:rPr>
                <w:rFonts w:asciiTheme="minorHAnsi" w:hAnsiTheme="minorHAnsi"/>
              </w:rPr>
              <w:t>.</w:t>
            </w:r>
          </w:p>
        </w:tc>
        <w:tc>
          <w:tcPr>
            <w:tcW w:w="5477" w:type="dxa"/>
          </w:tcPr>
          <w:p w14:paraId="5E88CFF0" w14:textId="15C76DE4" w:rsidR="0086430A" w:rsidRPr="00D12430" w:rsidRDefault="0086430A" w:rsidP="00D12430">
            <w:pPr>
              <w:rPr>
                <w:rFonts w:asciiTheme="minorHAnsi" w:hAnsiTheme="minorHAnsi"/>
              </w:rPr>
            </w:pPr>
            <w:r>
              <w:rPr>
                <w:rFonts w:asciiTheme="minorHAnsi" w:hAnsiTheme="minorHAnsi"/>
              </w:rPr>
              <w:t xml:space="preserve">We heard that some groups of people can have worse oral health and have a harder time accessing oral health care. </w:t>
            </w:r>
          </w:p>
        </w:tc>
      </w:tr>
    </w:tbl>
    <w:p w14:paraId="6C981322" w14:textId="77777777" w:rsidR="002A14A6" w:rsidRDefault="002A14A6" w:rsidP="00D12430">
      <w:pPr>
        <w:pStyle w:val="Heading2"/>
        <w:sectPr w:rsidR="002A14A6" w:rsidSect="00EB4B52">
          <w:pgSz w:w="11906" w:h="16838"/>
          <w:pgMar w:top="1440" w:right="1440" w:bottom="1440" w:left="1440" w:header="708" w:footer="708" w:gutter="0"/>
          <w:cols w:space="708"/>
          <w:docGrid w:linePitch="360"/>
        </w:sectPr>
      </w:pPr>
    </w:p>
    <w:p w14:paraId="0B95A54E" w14:textId="70DF0A3A" w:rsidR="002B5D50" w:rsidRPr="00D12430" w:rsidRDefault="002B5D50" w:rsidP="00D12430">
      <w:pPr>
        <w:pStyle w:val="Heading2"/>
      </w:pPr>
      <w:bookmarkStart w:id="12" w:name="_Toc204343557"/>
      <w:r w:rsidRPr="00D12430">
        <w:lastRenderedPageBreak/>
        <w:t xml:space="preserve">Focus Area </w:t>
      </w:r>
      <w:r w:rsidR="00E3672D">
        <w:t>5</w:t>
      </w:r>
      <w:r w:rsidRPr="00D12430">
        <w:t>: Align and integrate oral health across the health system</w:t>
      </w:r>
      <w:bookmarkEnd w:id="12"/>
    </w:p>
    <w:p w14:paraId="00EFF9BE" w14:textId="757AB050" w:rsidR="00B50B46" w:rsidRDefault="004F4491" w:rsidP="00D12430">
      <w:pPr>
        <w:rPr>
          <w:rFonts w:asciiTheme="minorHAnsi" w:hAnsiTheme="minorHAnsi"/>
        </w:rPr>
      </w:pPr>
      <w:r>
        <w:rPr>
          <w:rFonts w:asciiTheme="minorHAnsi" w:hAnsiTheme="minorHAnsi"/>
        </w:rPr>
        <w:t xml:space="preserve">Consultations identified this focus area as a key enabler for </w:t>
      </w:r>
      <w:r w:rsidR="008C3607">
        <w:rPr>
          <w:rFonts w:asciiTheme="minorHAnsi" w:hAnsiTheme="minorHAnsi"/>
        </w:rPr>
        <w:t xml:space="preserve">the plan. </w:t>
      </w:r>
      <w:r w:rsidR="00213A64">
        <w:rPr>
          <w:rFonts w:asciiTheme="minorHAnsi" w:hAnsiTheme="minorHAnsi"/>
        </w:rPr>
        <w:t xml:space="preserve">It sets out system-wide outcomes that will mobilise other aspects of the plan. </w:t>
      </w:r>
    </w:p>
    <w:tbl>
      <w:tblPr>
        <w:tblStyle w:val="TableGrid"/>
        <w:tblW w:w="0" w:type="auto"/>
        <w:tblLook w:val="04A0" w:firstRow="1" w:lastRow="0" w:firstColumn="1" w:lastColumn="0" w:noHBand="0" w:noVBand="1"/>
      </w:tblPr>
      <w:tblGrid>
        <w:gridCol w:w="3539"/>
        <w:gridCol w:w="5477"/>
      </w:tblGrid>
      <w:tr w:rsidR="00B50B46" w:rsidRPr="00D12430" w14:paraId="151C8569" w14:textId="77777777" w:rsidTr="00B10CA1">
        <w:tc>
          <w:tcPr>
            <w:tcW w:w="9016" w:type="dxa"/>
            <w:gridSpan w:val="2"/>
            <w:shd w:val="clear" w:color="auto" w:fill="95DCF7" w:themeFill="accent4" w:themeFillTint="66"/>
          </w:tcPr>
          <w:p w14:paraId="7870A951" w14:textId="77777777" w:rsidR="00B50B46" w:rsidRPr="00B10CA1" w:rsidRDefault="00B50B46" w:rsidP="00341B33">
            <w:pPr>
              <w:rPr>
                <w:rFonts w:asciiTheme="minorHAnsi" w:hAnsiTheme="minorHAnsi"/>
                <w:b/>
                <w:bCs/>
              </w:rPr>
            </w:pPr>
            <w:r w:rsidRPr="00B10CA1">
              <w:rPr>
                <w:rFonts w:asciiTheme="minorHAnsi" w:hAnsiTheme="minorHAnsi"/>
                <w:b/>
                <w:bCs/>
              </w:rPr>
              <w:t>2034 outcomes</w:t>
            </w:r>
          </w:p>
        </w:tc>
      </w:tr>
      <w:tr w:rsidR="00B50B46" w:rsidRPr="00D12430" w14:paraId="255B3608" w14:textId="77777777" w:rsidTr="00967D8F">
        <w:tc>
          <w:tcPr>
            <w:tcW w:w="3539" w:type="dxa"/>
            <w:shd w:val="clear" w:color="auto" w:fill="CAEDFB" w:themeFill="accent4" w:themeFillTint="33"/>
          </w:tcPr>
          <w:p w14:paraId="2072EA6D" w14:textId="69DF14D4" w:rsidR="00B50B46" w:rsidRPr="00D12430" w:rsidRDefault="00E3672D" w:rsidP="00B50B46">
            <w:pPr>
              <w:rPr>
                <w:rFonts w:asciiTheme="minorHAnsi" w:hAnsiTheme="minorHAnsi"/>
              </w:rPr>
            </w:pPr>
            <w:r>
              <w:rPr>
                <w:rFonts w:asciiTheme="minorHAnsi" w:hAnsiTheme="minorHAnsi"/>
              </w:rPr>
              <w:t>5</w:t>
            </w:r>
            <w:r w:rsidR="00967D8F">
              <w:rPr>
                <w:rFonts w:asciiTheme="minorHAnsi" w:hAnsiTheme="minorHAnsi"/>
              </w:rPr>
              <w:t xml:space="preserve">.1 </w:t>
            </w:r>
            <w:r w:rsidR="00B50B46" w:rsidRPr="00D12430">
              <w:rPr>
                <w:rFonts w:asciiTheme="minorHAnsi" w:hAnsiTheme="minorHAnsi"/>
              </w:rPr>
              <w:t>National and jurisdictional leadership drives oral health reform.</w:t>
            </w:r>
          </w:p>
          <w:p w14:paraId="0236BFBA" w14:textId="77777777" w:rsidR="00B50B46" w:rsidRPr="00D12430" w:rsidRDefault="00B50B46" w:rsidP="00341B33">
            <w:pPr>
              <w:rPr>
                <w:rFonts w:asciiTheme="minorHAnsi" w:hAnsiTheme="minorHAnsi"/>
              </w:rPr>
            </w:pPr>
          </w:p>
        </w:tc>
        <w:tc>
          <w:tcPr>
            <w:tcW w:w="5477" w:type="dxa"/>
          </w:tcPr>
          <w:p w14:paraId="0965E6FD" w14:textId="3CEDF036" w:rsidR="00B50B46" w:rsidRPr="00D12430" w:rsidRDefault="00475237" w:rsidP="00341B33">
            <w:pPr>
              <w:rPr>
                <w:rFonts w:asciiTheme="minorHAnsi" w:hAnsiTheme="minorHAnsi"/>
              </w:rPr>
            </w:pPr>
            <w:r>
              <w:rPr>
                <w:rFonts w:asciiTheme="minorHAnsi" w:hAnsiTheme="minorHAnsi"/>
              </w:rPr>
              <w:t xml:space="preserve">Consultations </w:t>
            </w:r>
            <w:r w:rsidR="00DF39E8">
              <w:rPr>
                <w:rFonts w:asciiTheme="minorHAnsi" w:hAnsiTheme="minorHAnsi"/>
              </w:rPr>
              <w:t xml:space="preserve">identified clear needs for strengthened leadership and recognition of shared </w:t>
            </w:r>
            <w:r w:rsidR="00967D8F">
              <w:rPr>
                <w:rFonts w:asciiTheme="minorHAnsi" w:hAnsiTheme="minorHAnsi"/>
              </w:rPr>
              <w:t>responsibilities</w:t>
            </w:r>
            <w:r w:rsidR="006E0C32">
              <w:rPr>
                <w:rFonts w:asciiTheme="minorHAnsi" w:hAnsiTheme="minorHAnsi"/>
              </w:rPr>
              <w:t>.</w:t>
            </w:r>
          </w:p>
        </w:tc>
      </w:tr>
      <w:tr w:rsidR="00B50B46" w:rsidRPr="00D12430" w14:paraId="7057167E" w14:textId="77777777" w:rsidTr="00967D8F">
        <w:tc>
          <w:tcPr>
            <w:tcW w:w="3539" w:type="dxa"/>
            <w:shd w:val="clear" w:color="auto" w:fill="CAEDFB" w:themeFill="accent4" w:themeFillTint="33"/>
          </w:tcPr>
          <w:p w14:paraId="5293A2F4" w14:textId="58BBD1FA" w:rsidR="00B50B46" w:rsidRPr="00D12430" w:rsidRDefault="00E3672D" w:rsidP="00B50B46">
            <w:pPr>
              <w:rPr>
                <w:rFonts w:asciiTheme="minorHAnsi" w:hAnsiTheme="minorHAnsi"/>
              </w:rPr>
            </w:pPr>
            <w:r>
              <w:rPr>
                <w:rFonts w:asciiTheme="minorHAnsi" w:hAnsiTheme="minorHAnsi"/>
              </w:rPr>
              <w:t>5</w:t>
            </w:r>
            <w:r w:rsidR="00967D8F">
              <w:rPr>
                <w:rFonts w:asciiTheme="minorHAnsi" w:hAnsiTheme="minorHAnsi"/>
              </w:rPr>
              <w:t xml:space="preserve">.2 </w:t>
            </w:r>
            <w:r w:rsidR="00B50B46" w:rsidRPr="00D12430">
              <w:rPr>
                <w:rFonts w:asciiTheme="minorHAnsi" w:hAnsiTheme="minorHAnsi"/>
              </w:rPr>
              <w:t>Improved public and private sector partnerships.</w:t>
            </w:r>
          </w:p>
          <w:p w14:paraId="081BED3A" w14:textId="77777777" w:rsidR="00B50B46" w:rsidRPr="00D12430" w:rsidRDefault="00B50B46" w:rsidP="00341B33">
            <w:pPr>
              <w:rPr>
                <w:rFonts w:asciiTheme="minorHAnsi" w:hAnsiTheme="minorHAnsi"/>
              </w:rPr>
            </w:pPr>
          </w:p>
        </w:tc>
        <w:tc>
          <w:tcPr>
            <w:tcW w:w="5477" w:type="dxa"/>
          </w:tcPr>
          <w:p w14:paraId="32688F88" w14:textId="467B8D62" w:rsidR="00B50B46" w:rsidRPr="00D12430" w:rsidRDefault="00184739" w:rsidP="00341B33">
            <w:pPr>
              <w:rPr>
                <w:rFonts w:asciiTheme="minorHAnsi" w:hAnsiTheme="minorHAnsi"/>
              </w:rPr>
            </w:pPr>
            <w:r>
              <w:rPr>
                <w:rFonts w:asciiTheme="minorHAnsi" w:hAnsiTheme="minorHAnsi"/>
              </w:rPr>
              <w:t xml:space="preserve">The private oral health sector provides </w:t>
            </w:r>
            <w:r w:rsidR="00967D8F">
              <w:rPr>
                <w:rFonts w:asciiTheme="minorHAnsi" w:hAnsiTheme="minorHAnsi"/>
              </w:rPr>
              <w:t xml:space="preserve">most </w:t>
            </w:r>
            <w:r>
              <w:rPr>
                <w:rFonts w:asciiTheme="minorHAnsi" w:hAnsiTheme="minorHAnsi"/>
              </w:rPr>
              <w:t xml:space="preserve">oral health services for consumers. </w:t>
            </w:r>
            <w:r w:rsidR="00D304C1">
              <w:rPr>
                <w:rFonts w:asciiTheme="minorHAnsi" w:hAnsiTheme="minorHAnsi"/>
              </w:rPr>
              <w:t>Consultations called for better partnerships between public and private oral health sectors</w:t>
            </w:r>
            <w:r w:rsidR="00407363">
              <w:rPr>
                <w:rFonts w:asciiTheme="minorHAnsi" w:hAnsiTheme="minorHAnsi"/>
              </w:rPr>
              <w:t xml:space="preserve"> to reduce oral health inequity. </w:t>
            </w:r>
          </w:p>
        </w:tc>
      </w:tr>
      <w:tr w:rsidR="00B50B46" w:rsidRPr="00D12430" w14:paraId="039FF2D7" w14:textId="77777777" w:rsidTr="00967D8F">
        <w:tc>
          <w:tcPr>
            <w:tcW w:w="3539" w:type="dxa"/>
            <w:shd w:val="clear" w:color="auto" w:fill="CAEDFB" w:themeFill="accent4" w:themeFillTint="33"/>
          </w:tcPr>
          <w:p w14:paraId="69966C0F" w14:textId="3BC30385" w:rsidR="00B50B46" w:rsidRPr="00D12430" w:rsidRDefault="00E3672D" w:rsidP="00B50B46">
            <w:pPr>
              <w:rPr>
                <w:rFonts w:asciiTheme="minorHAnsi" w:hAnsiTheme="minorHAnsi"/>
              </w:rPr>
            </w:pPr>
            <w:r>
              <w:rPr>
                <w:rFonts w:asciiTheme="minorHAnsi" w:hAnsiTheme="minorHAnsi"/>
              </w:rPr>
              <w:t>5</w:t>
            </w:r>
            <w:r w:rsidR="00967D8F">
              <w:rPr>
                <w:rFonts w:asciiTheme="minorHAnsi" w:hAnsiTheme="minorHAnsi"/>
              </w:rPr>
              <w:t xml:space="preserve">.3 </w:t>
            </w:r>
            <w:r w:rsidR="00B50B46" w:rsidRPr="00D12430">
              <w:rPr>
                <w:rFonts w:asciiTheme="minorHAnsi" w:hAnsiTheme="minorHAnsi"/>
              </w:rPr>
              <w:t>Oral health care is integrated into primary health care.</w:t>
            </w:r>
          </w:p>
          <w:p w14:paraId="071D475A" w14:textId="77777777" w:rsidR="00B50B46" w:rsidRPr="00D12430" w:rsidRDefault="00B50B46" w:rsidP="00341B33">
            <w:pPr>
              <w:rPr>
                <w:rFonts w:asciiTheme="minorHAnsi" w:hAnsiTheme="minorHAnsi"/>
              </w:rPr>
            </w:pPr>
          </w:p>
        </w:tc>
        <w:tc>
          <w:tcPr>
            <w:tcW w:w="5477" w:type="dxa"/>
          </w:tcPr>
          <w:p w14:paraId="0946FE8C" w14:textId="19D3923A" w:rsidR="00B50B46" w:rsidRPr="00D12430" w:rsidRDefault="000F3324" w:rsidP="00341B33">
            <w:pPr>
              <w:rPr>
                <w:rFonts w:asciiTheme="minorHAnsi" w:hAnsiTheme="minorHAnsi"/>
              </w:rPr>
            </w:pPr>
            <w:r>
              <w:rPr>
                <w:rFonts w:asciiTheme="minorHAnsi" w:hAnsiTheme="minorHAnsi"/>
              </w:rPr>
              <w:t xml:space="preserve">We heard </w:t>
            </w:r>
            <w:r w:rsidR="00D82EC4">
              <w:rPr>
                <w:rFonts w:asciiTheme="minorHAnsi" w:hAnsiTheme="minorHAnsi"/>
              </w:rPr>
              <w:t>there is a need to improve connections between general practice and dentistry</w:t>
            </w:r>
            <w:r w:rsidR="004D7DEC">
              <w:rPr>
                <w:rFonts w:asciiTheme="minorHAnsi" w:hAnsiTheme="minorHAnsi"/>
              </w:rPr>
              <w:t xml:space="preserve">, because poor oral health can be a result or a cause of </w:t>
            </w:r>
            <w:r w:rsidR="00D82A75">
              <w:rPr>
                <w:rFonts w:asciiTheme="minorHAnsi" w:hAnsiTheme="minorHAnsi"/>
              </w:rPr>
              <w:t xml:space="preserve">other illness. </w:t>
            </w:r>
          </w:p>
        </w:tc>
      </w:tr>
      <w:tr w:rsidR="00B50B46" w:rsidRPr="00D12430" w14:paraId="36729202" w14:textId="77777777" w:rsidTr="00967D8F">
        <w:tc>
          <w:tcPr>
            <w:tcW w:w="3539" w:type="dxa"/>
            <w:shd w:val="clear" w:color="auto" w:fill="CAEDFB" w:themeFill="accent4" w:themeFillTint="33"/>
          </w:tcPr>
          <w:p w14:paraId="7AE582FC" w14:textId="73F78A9C" w:rsidR="00B50B46" w:rsidRPr="00D12430" w:rsidRDefault="00E3672D" w:rsidP="00B50B46">
            <w:pPr>
              <w:rPr>
                <w:rFonts w:asciiTheme="minorHAnsi" w:hAnsiTheme="minorHAnsi"/>
              </w:rPr>
            </w:pPr>
            <w:r>
              <w:rPr>
                <w:rFonts w:asciiTheme="minorHAnsi" w:hAnsiTheme="minorHAnsi"/>
              </w:rPr>
              <w:t>5</w:t>
            </w:r>
            <w:r w:rsidR="00967D8F">
              <w:rPr>
                <w:rFonts w:asciiTheme="minorHAnsi" w:hAnsiTheme="minorHAnsi"/>
              </w:rPr>
              <w:t xml:space="preserve">.4 </w:t>
            </w:r>
            <w:r w:rsidR="00B50B46" w:rsidRPr="00D12430">
              <w:rPr>
                <w:rFonts w:asciiTheme="minorHAnsi" w:hAnsiTheme="minorHAnsi"/>
              </w:rPr>
              <w:t>Digital technology improves oral health systems integration.</w:t>
            </w:r>
          </w:p>
          <w:p w14:paraId="5EB48621" w14:textId="77777777" w:rsidR="00B50B46" w:rsidRPr="00D12430" w:rsidRDefault="00B50B46" w:rsidP="00341B33">
            <w:pPr>
              <w:rPr>
                <w:rFonts w:asciiTheme="minorHAnsi" w:hAnsiTheme="minorHAnsi"/>
              </w:rPr>
            </w:pPr>
          </w:p>
        </w:tc>
        <w:tc>
          <w:tcPr>
            <w:tcW w:w="5477" w:type="dxa"/>
          </w:tcPr>
          <w:p w14:paraId="4E8A9B3F" w14:textId="19F0A067" w:rsidR="00B50B46" w:rsidRPr="00D12430" w:rsidRDefault="00224422" w:rsidP="00341B33">
            <w:pPr>
              <w:rPr>
                <w:rFonts w:asciiTheme="minorHAnsi" w:hAnsiTheme="minorHAnsi"/>
              </w:rPr>
            </w:pPr>
            <w:r>
              <w:rPr>
                <w:rFonts w:asciiTheme="minorHAnsi" w:hAnsiTheme="minorHAnsi"/>
              </w:rPr>
              <w:t xml:space="preserve">We heard </w:t>
            </w:r>
            <w:r w:rsidR="00C8262B">
              <w:rPr>
                <w:rFonts w:asciiTheme="minorHAnsi" w:hAnsiTheme="minorHAnsi"/>
              </w:rPr>
              <w:t xml:space="preserve">that better use of technology could improve both the design and delivery of clinical services, </w:t>
            </w:r>
            <w:r w:rsidR="004470A8">
              <w:rPr>
                <w:rFonts w:asciiTheme="minorHAnsi" w:hAnsiTheme="minorHAnsi"/>
              </w:rPr>
              <w:t xml:space="preserve">person-centred care across the health system, and monitoring of health outcomes. </w:t>
            </w:r>
          </w:p>
        </w:tc>
      </w:tr>
      <w:tr w:rsidR="00B50B46" w:rsidRPr="00D12430" w14:paraId="33762C3E" w14:textId="77777777" w:rsidTr="00967D8F">
        <w:tc>
          <w:tcPr>
            <w:tcW w:w="3539" w:type="dxa"/>
            <w:shd w:val="clear" w:color="auto" w:fill="CAEDFB" w:themeFill="accent4" w:themeFillTint="33"/>
          </w:tcPr>
          <w:p w14:paraId="36B6B677" w14:textId="1E9E22AF" w:rsidR="00B50B46" w:rsidRPr="00D12430" w:rsidRDefault="00E3672D" w:rsidP="00B50B46">
            <w:pPr>
              <w:rPr>
                <w:rFonts w:asciiTheme="minorHAnsi" w:hAnsiTheme="minorHAnsi"/>
              </w:rPr>
            </w:pPr>
            <w:r>
              <w:rPr>
                <w:rFonts w:asciiTheme="minorHAnsi" w:hAnsiTheme="minorHAnsi"/>
              </w:rPr>
              <w:t>5</w:t>
            </w:r>
            <w:r w:rsidR="00967D8F">
              <w:rPr>
                <w:rFonts w:asciiTheme="minorHAnsi" w:hAnsiTheme="minorHAnsi"/>
              </w:rPr>
              <w:t xml:space="preserve">.5 </w:t>
            </w:r>
            <w:r w:rsidR="00B50B46" w:rsidRPr="00D12430">
              <w:rPr>
                <w:rFonts w:asciiTheme="minorHAnsi" w:hAnsiTheme="minorHAnsi"/>
              </w:rPr>
              <w:t>Enhanced safety and quality through voluntary oral health practice accreditation</w:t>
            </w:r>
            <w:r w:rsidR="00E85B8E">
              <w:rPr>
                <w:rFonts w:asciiTheme="minorHAnsi" w:hAnsiTheme="minorHAnsi"/>
              </w:rPr>
              <w:t>.</w:t>
            </w:r>
          </w:p>
          <w:p w14:paraId="5F2F9A46" w14:textId="77777777" w:rsidR="00B50B46" w:rsidRPr="00D12430" w:rsidRDefault="00B50B46" w:rsidP="00B50B46">
            <w:pPr>
              <w:rPr>
                <w:rFonts w:asciiTheme="minorHAnsi" w:hAnsiTheme="minorHAnsi"/>
              </w:rPr>
            </w:pPr>
          </w:p>
        </w:tc>
        <w:tc>
          <w:tcPr>
            <w:tcW w:w="5477" w:type="dxa"/>
          </w:tcPr>
          <w:p w14:paraId="403E5CAD" w14:textId="01B37F78" w:rsidR="00B50B46" w:rsidRPr="00D12430" w:rsidRDefault="00751547" w:rsidP="00341B33">
            <w:pPr>
              <w:rPr>
                <w:rFonts w:asciiTheme="minorHAnsi" w:hAnsiTheme="minorHAnsi"/>
              </w:rPr>
            </w:pPr>
            <w:r>
              <w:rPr>
                <w:rFonts w:asciiTheme="minorHAnsi" w:hAnsiTheme="minorHAnsi"/>
              </w:rPr>
              <w:t xml:space="preserve">Private </w:t>
            </w:r>
            <w:r w:rsidR="005B592B">
              <w:rPr>
                <w:rFonts w:asciiTheme="minorHAnsi" w:hAnsiTheme="minorHAnsi"/>
              </w:rPr>
              <w:t xml:space="preserve">oral health </w:t>
            </w:r>
            <w:r>
              <w:rPr>
                <w:rFonts w:asciiTheme="minorHAnsi" w:hAnsiTheme="minorHAnsi"/>
              </w:rPr>
              <w:t xml:space="preserve">practice voluntary accreditation can help improve the safety and quality of services provided to </w:t>
            </w:r>
            <w:r w:rsidR="005B592B">
              <w:rPr>
                <w:rFonts w:asciiTheme="minorHAnsi" w:hAnsiTheme="minorHAnsi"/>
              </w:rPr>
              <w:t xml:space="preserve">consumers. </w:t>
            </w:r>
          </w:p>
        </w:tc>
      </w:tr>
      <w:tr w:rsidR="00B50B46" w:rsidRPr="00D12430" w14:paraId="43D8EB0D" w14:textId="77777777" w:rsidTr="00967D8F">
        <w:tc>
          <w:tcPr>
            <w:tcW w:w="3539" w:type="dxa"/>
            <w:shd w:val="clear" w:color="auto" w:fill="CAEDFB" w:themeFill="accent4" w:themeFillTint="33"/>
          </w:tcPr>
          <w:p w14:paraId="1EE5AE0D" w14:textId="68137ED7" w:rsidR="00B50B46" w:rsidRPr="00D12430" w:rsidRDefault="00E3672D" w:rsidP="00B50B46">
            <w:pPr>
              <w:rPr>
                <w:rFonts w:asciiTheme="minorHAnsi" w:hAnsiTheme="minorHAnsi"/>
              </w:rPr>
            </w:pPr>
            <w:r>
              <w:rPr>
                <w:rFonts w:asciiTheme="minorHAnsi" w:hAnsiTheme="minorHAnsi"/>
              </w:rPr>
              <w:t>5</w:t>
            </w:r>
            <w:r w:rsidR="00967D8F">
              <w:rPr>
                <w:rFonts w:asciiTheme="minorHAnsi" w:hAnsiTheme="minorHAnsi"/>
              </w:rPr>
              <w:t xml:space="preserve">.6 </w:t>
            </w:r>
            <w:r w:rsidR="00B50B46" w:rsidRPr="00D12430">
              <w:rPr>
                <w:rFonts w:asciiTheme="minorHAnsi" w:hAnsiTheme="minorHAnsi"/>
              </w:rPr>
              <w:t>Environmentally sustainable oral health care is promoted.</w:t>
            </w:r>
          </w:p>
        </w:tc>
        <w:tc>
          <w:tcPr>
            <w:tcW w:w="5477" w:type="dxa"/>
          </w:tcPr>
          <w:p w14:paraId="6C52E99C" w14:textId="1FFF46D8" w:rsidR="00B50B46" w:rsidRPr="00D12430" w:rsidRDefault="005B592B" w:rsidP="00341B33">
            <w:pPr>
              <w:rPr>
                <w:rFonts w:asciiTheme="minorHAnsi" w:hAnsiTheme="minorHAnsi"/>
              </w:rPr>
            </w:pPr>
            <w:r>
              <w:rPr>
                <w:rFonts w:asciiTheme="minorHAnsi" w:hAnsiTheme="minorHAnsi"/>
              </w:rPr>
              <w:t xml:space="preserve">We heard that </w:t>
            </w:r>
            <w:r w:rsidR="00DA7E31">
              <w:rPr>
                <w:rFonts w:asciiTheme="minorHAnsi" w:hAnsiTheme="minorHAnsi"/>
              </w:rPr>
              <w:t>measures are needed to reduce the environmental impact of oral health services, including the reduction of w</w:t>
            </w:r>
            <w:r w:rsidR="0087224C">
              <w:rPr>
                <w:rFonts w:asciiTheme="minorHAnsi" w:hAnsiTheme="minorHAnsi"/>
              </w:rPr>
              <w:t xml:space="preserve">aste and the use of mercury. </w:t>
            </w:r>
          </w:p>
        </w:tc>
      </w:tr>
    </w:tbl>
    <w:p w14:paraId="69D066F1" w14:textId="77777777" w:rsidR="002B5D50" w:rsidRPr="00D12430" w:rsidRDefault="002B5D50" w:rsidP="00D12430">
      <w:pPr>
        <w:rPr>
          <w:rFonts w:asciiTheme="minorHAnsi" w:hAnsiTheme="minorHAnsi"/>
        </w:rPr>
      </w:pPr>
    </w:p>
    <w:p w14:paraId="4D7BFC7F" w14:textId="77777777" w:rsidR="00E3672D" w:rsidRDefault="00E3672D" w:rsidP="00D12430">
      <w:pPr>
        <w:pStyle w:val="Heading2"/>
        <w:sectPr w:rsidR="00E3672D" w:rsidSect="00EB4B52">
          <w:pgSz w:w="11906" w:h="16838"/>
          <w:pgMar w:top="1440" w:right="1440" w:bottom="1440" w:left="1440" w:header="708" w:footer="708" w:gutter="0"/>
          <w:cols w:space="708"/>
          <w:docGrid w:linePitch="360"/>
        </w:sectPr>
      </w:pPr>
    </w:p>
    <w:p w14:paraId="4F5D26DF" w14:textId="49C8E0CF" w:rsidR="002B5D50" w:rsidRDefault="002B5D50" w:rsidP="00D12430">
      <w:pPr>
        <w:pStyle w:val="Heading2"/>
      </w:pPr>
      <w:bookmarkStart w:id="13" w:name="_Toc204343558"/>
      <w:r w:rsidRPr="00D12430">
        <w:lastRenderedPageBreak/>
        <w:t xml:space="preserve">Focus area </w:t>
      </w:r>
      <w:r w:rsidR="00E3672D">
        <w:t>6</w:t>
      </w:r>
      <w:r w:rsidRPr="00D12430">
        <w:t>: Support a sustainable and skilled oral health workforce</w:t>
      </w:r>
      <w:bookmarkEnd w:id="13"/>
    </w:p>
    <w:p w14:paraId="75CF8D66" w14:textId="3C491546" w:rsidR="00B50B46" w:rsidRDefault="00213A64" w:rsidP="00D12430">
      <w:pPr>
        <w:rPr>
          <w:rFonts w:asciiTheme="minorHAnsi" w:hAnsiTheme="minorHAnsi"/>
        </w:rPr>
      </w:pPr>
      <w:r>
        <w:rPr>
          <w:rFonts w:asciiTheme="minorHAnsi" w:hAnsiTheme="minorHAnsi"/>
        </w:rPr>
        <w:t xml:space="preserve">Consultations identified this focus area as a key enabler for the plan. </w:t>
      </w:r>
      <w:r w:rsidR="00BF4989">
        <w:rPr>
          <w:rFonts w:asciiTheme="minorHAnsi" w:hAnsiTheme="minorHAnsi"/>
        </w:rPr>
        <w:t>The oral health workforce is integral to the success</w:t>
      </w:r>
      <w:r>
        <w:rPr>
          <w:rFonts w:asciiTheme="minorHAnsi" w:hAnsiTheme="minorHAnsi"/>
        </w:rPr>
        <w:t xml:space="preserve"> of the plan. </w:t>
      </w:r>
    </w:p>
    <w:tbl>
      <w:tblPr>
        <w:tblStyle w:val="TableGrid"/>
        <w:tblW w:w="0" w:type="auto"/>
        <w:tblLook w:val="04A0" w:firstRow="1" w:lastRow="0" w:firstColumn="1" w:lastColumn="0" w:noHBand="0" w:noVBand="1"/>
      </w:tblPr>
      <w:tblGrid>
        <w:gridCol w:w="3539"/>
        <w:gridCol w:w="5477"/>
      </w:tblGrid>
      <w:tr w:rsidR="00B50B46" w:rsidRPr="00D12430" w14:paraId="2F1A046D" w14:textId="77777777" w:rsidTr="00341B33">
        <w:tc>
          <w:tcPr>
            <w:tcW w:w="9016" w:type="dxa"/>
            <w:gridSpan w:val="2"/>
            <w:shd w:val="clear" w:color="auto" w:fill="CAEDFB" w:themeFill="accent4" w:themeFillTint="33"/>
          </w:tcPr>
          <w:p w14:paraId="6CEF303A" w14:textId="77777777" w:rsidR="00B50B46" w:rsidRPr="00B10CA1" w:rsidRDefault="00B50B46" w:rsidP="00341B33">
            <w:pPr>
              <w:rPr>
                <w:rFonts w:asciiTheme="minorHAnsi" w:hAnsiTheme="minorHAnsi"/>
                <w:b/>
                <w:bCs/>
              </w:rPr>
            </w:pPr>
            <w:r w:rsidRPr="00B10CA1">
              <w:rPr>
                <w:rFonts w:asciiTheme="minorHAnsi" w:hAnsiTheme="minorHAnsi"/>
                <w:b/>
                <w:bCs/>
              </w:rPr>
              <w:t>2034 outcomes</w:t>
            </w:r>
          </w:p>
        </w:tc>
      </w:tr>
      <w:tr w:rsidR="00B50B46" w:rsidRPr="00D12430" w14:paraId="4728C7AF" w14:textId="77777777" w:rsidTr="00967D8F">
        <w:tc>
          <w:tcPr>
            <w:tcW w:w="3539" w:type="dxa"/>
            <w:shd w:val="clear" w:color="auto" w:fill="CAEDFB" w:themeFill="accent4" w:themeFillTint="33"/>
          </w:tcPr>
          <w:p w14:paraId="48BA68CB" w14:textId="1721FA2B" w:rsidR="00B50B46" w:rsidRPr="00D12430" w:rsidRDefault="00EE6B23" w:rsidP="00B50B46">
            <w:pPr>
              <w:rPr>
                <w:rFonts w:asciiTheme="minorHAnsi" w:hAnsiTheme="minorHAnsi"/>
              </w:rPr>
            </w:pPr>
            <w:r>
              <w:rPr>
                <w:rFonts w:asciiTheme="minorHAnsi" w:hAnsiTheme="minorHAnsi"/>
              </w:rPr>
              <w:t>6</w:t>
            </w:r>
            <w:r w:rsidR="00967D8F">
              <w:rPr>
                <w:rFonts w:asciiTheme="minorHAnsi" w:hAnsiTheme="minorHAnsi"/>
              </w:rPr>
              <w:t xml:space="preserve">.1 </w:t>
            </w:r>
            <w:r w:rsidR="00B50B46" w:rsidRPr="00D12430">
              <w:rPr>
                <w:rFonts w:asciiTheme="minorHAnsi" w:hAnsiTheme="minorHAnsi"/>
              </w:rPr>
              <w:t>A future-focused oral health workforce strategy proactively plans for training, retention and distribution to build a capable and sustainable oral health workforce addressing evolving oral health needs.</w:t>
            </w:r>
          </w:p>
          <w:p w14:paraId="14289E0B" w14:textId="77777777" w:rsidR="00B50B46" w:rsidRPr="00D12430" w:rsidRDefault="00B50B46" w:rsidP="00341B33">
            <w:pPr>
              <w:rPr>
                <w:rFonts w:asciiTheme="minorHAnsi" w:hAnsiTheme="minorHAnsi"/>
              </w:rPr>
            </w:pPr>
          </w:p>
        </w:tc>
        <w:tc>
          <w:tcPr>
            <w:tcW w:w="5477" w:type="dxa"/>
          </w:tcPr>
          <w:p w14:paraId="7543DAAB" w14:textId="5E41D687" w:rsidR="00B50B46" w:rsidRPr="00D12430" w:rsidRDefault="00CF78C0" w:rsidP="00341B33">
            <w:pPr>
              <w:rPr>
                <w:rFonts w:asciiTheme="minorHAnsi" w:hAnsiTheme="minorHAnsi"/>
              </w:rPr>
            </w:pPr>
            <w:r>
              <w:rPr>
                <w:rFonts w:asciiTheme="minorHAnsi" w:hAnsiTheme="minorHAnsi"/>
              </w:rPr>
              <w:t>We heard that a planned</w:t>
            </w:r>
            <w:r w:rsidR="005C1073">
              <w:rPr>
                <w:rFonts w:asciiTheme="minorHAnsi" w:hAnsiTheme="minorHAnsi"/>
              </w:rPr>
              <w:t xml:space="preserve"> approach is needed to ensure </w:t>
            </w:r>
            <w:r w:rsidR="00571822">
              <w:rPr>
                <w:rFonts w:asciiTheme="minorHAnsi" w:hAnsiTheme="minorHAnsi"/>
              </w:rPr>
              <w:t xml:space="preserve">that Australia has the right oral health workforce. </w:t>
            </w:r>
          </w:p>
        </w:tc>
      </w:tr>
      <w:tr w:rsidR="00B50B46" w:rsidRPr="00D12430" w14:paraId="5F6835EA" w14:textId="77777777" w:rsidTr="00967D8F">
        <w:tc>
          <w:tcPr>
            <w:tcW w:w="3539" w:type="dxa"/>
            <w:shd w:val="clear" w:color="auto" w:fill="CAEDFB" w:themeFill="accent4" w:themeFillTint="33"/>
          </w:tcPr>
          <w:p w14:paraId="7AE239E6" w14:textId="0D7A6EFE" w:rsidR="00B50B46" w:rsidRPr="00D12430" w:rsidRDefault="00EE6B23" w:rsidP="00B50B46">
            <w:pPr>
              <w:rPr>
                <w:rFonts w:asciiTheme="minorHAnsi" w:hAnsiTheme="minorHAnsi"/>
              </w:rPr>
            </w:pPr>
            <w:r>
              <w:rPr>
                <w:rFonts w:asciiTheme="minorHAnsi" w:hAnsiTheme="minorHAnsi"/>
              </w:rPr>
              <w:t>6</w:t>
            </w:r>
            <w:r w:rsidR="00967D8F">
              <w:rPr>
                <w:rFonts w:asciiTheme="minorHAnsi" w:hAnsiTheme="minorHAnsi"/>
              </w:rPr>
              <w:t xml:space="preserve">.2 </w:t>
            </w:r>
            <w:r w:rsidR="00B50B46" w:rsidRPr="00D12430">
              <w:rPr>
                <w:rFonts w:asciiTheme="minorHAnsi" w:hAnsiTheme="minorHAnsi"/>
              </w:rPr>
              <w:t>Enhanced safety and quality in oral health care delivery.</w:t>
            </w:r>
          </w:p>
          <w:p w14:paraId="1EB1FA9D" w14:textId="77777777" w:rsidR="00B50B46" w:rsidRPr="00D12430" w:rsidRDefault="00B50B46" w:rsidP="00B50B46">
            <w:pPr>
              <w:rPr>
                <w:rFonts w:asciiTheme="minorHAnsi" w:hAnsiTheme="minorHAnsi"/>
              </w:rPr>
            </w:pPr>
          </w:p>
        </w:tc>
        <w:tc>
          <w:tcPr>
            <w:tcW w:w="5477" w:type="dxa"/>
          </w:tcPr>
          <w:p w14:paraId="2CE81B33" w14:textId="26A84CD4" w:rsidR="00B50B46" w:rsidRPr="00D12430" w:rsidRDefault="00986FF2" w:rsidP="00341B33">
            <w:pPr>
              <w:rPr>
                <w:rFonts w:asciiTheme="minorHAnsi" w:hAnsiTheme="minorHAnsi"/>
              </w:rPr>
            </w:pPr>
            <w:r>
              <w:rPr>
                <w:rFonts w:asciiTheme="minorHAnsi" w:hAnsiTheme="minorHAnsi"/>
              </w:rPr>
              <w:t xml:space="preserve">We heard that </w:t>
            </w:r>
            <w:r w:rsidR="00C75359">
              <w:rPr>
                <w:rFonts w:asciiTheme="minorHAnsi" w:hAnsiTheme="minorHAnsi"/>
              </w:rPr>
              <w:t xml:space="preserve">improving the </w:t>
            </w:r>
            <w:r w:rsidR="007D341C">
              <w:rPr>
                <w:rFonts w:asciiTheme="minorHAnsi" w:hAnsiTheme="minorHAnsi"/>
              </w:rPr>
              <w:t xml:space="preserve">safety and quality of oral health care </w:t>
            </w:r>
            <w:r w:rsidR="00C75359">
              <w:rPr>
                <w:rFonts w:asciiTheme="minorHAnsi" w:hAnsiTheme="minorHAnsi"/>
              </w:rPr>
              <w:t xml:space="preserve">can improve consumer experience and outcomes. </w:t>
            </w:r>
            <w:r w:rsidR="007D341C">
              <w:rPr>
                <w:rFonts w:asciiTheme="minorHAnsi" w:hAnsiTheme="minorHAnsi"/>
              </w:rPr>
              <w:t xml:space="preserve"> </w:t>
            </w:r>
          </w:p>
        </w:tc>
      </w:tr>
      <w:tr w:rsidR="00B50B46" w:rsidRPr="00D12430" w14:paraId="513DD033" w14:textId="77777777" w:rsidTr="00967D8F">
        <w:tc>
          <w:tcPr>
            <w:tcW w:w="3539" w:type="dxa"/>
            <w:shd w:val="clear" w:color="auto" w:fill="CAEDFB" w:themeFill="accent4" w:themeFillTint="33"/>
          </w:tcPr>
          <w:p w14:paraId="3176F2D5" w14:textId="0E02C206" w:rsidR="00B50B46" w:rsidRPr="00D12430" w:rsidRDefault="00EE6B23" w:rsidP="00B50B46">
            <w:pPr>
              <w:rPr>
                <w:rFonts w:asciiTheme="minorHAnsi" w:hAnsiTheme="minorHAnsi"/>
              </w:rPr>
            </w:pPr>
            <w:r>
              <w:rPr>
                <w:rFonts w:asciiTheme="minorHAnsi" w:hAnsiTheme="minorHAnsi"/>
              </w:rPr>
              <w:t>6</w:t>
            </w:r>
            <w:r w:rsidR="00967D8F">
              <w:rPr>
                <w:rFonts w:asciiTheme="minorHAnsi" w:hAnsiTheme="minorHAnsi"/>
              </w:rPr>
              <w:t xml:space="preserve">.3 </w:t>
            </w:r>
            <w:r w:rsidR="00B50B46" w:rsidRPr="00D12430">
              <w:rPr>
                <w:rFonts w:asciiTheme="minorHAnsi" w:hAnsiTheme="minorHAnsi"/>
              </w:rPr>
              <w:t>Support for all parts of the oral health workforce to work to full scope of practice.</w:t>
            </w:r>
          </w:p>
        </w:tc>
        <w:tc>
          <w:tcPr>
            <w:tcW w:w="5477" w:type="dxa"/>
          </w:tcPr>
          <w:p w14:paraId="3B4E9884" w14:textId="72439F10" w:rsidR="00B50B46" w:rsidRPr="00D12430" w:rsidRDefault="00261F6D" w:rsidP="00341B33">
            <w:pPr>
              <w:rPr>
                <w:rFonts w:asciiTheme="minorHAnsi" w:hAnsiTheme="minorHAnsi"/>
              </w:rPr>
            </w:pPr>
            <w:r>
              <w:rPr>
                <w:rFonts w:asciiTheme="minorHAnsi" w:hAnsiTheme="minorHAnsi"/>
              </w:rPr>
              <w:t xml:space="preserve">We heard that </w:t>
            </w:r>
            <w:r w:rsidR="00804214">
              <w:rPr>
                <w:rFonts w:asciiTheme="minorHAnsi" w:hAnsiTheme="minorHAnsi"/>
              </w:rPr>
              <w:t>cultural</w:t>
            </w:r>
            <w:r w:rsidR="00FC6067">
              <w:rPr>
                <w:rFonts w:asciiTheme="minorHAnsi" w:hAnsiTheme="minorHAnsi"/>
              </w:rPr>
              <w:t xml:space="preserve">, </w:t>
            </w:r>
            <w:r w:rsidR="00C21AFA">
              <w:rPr>
                <w:rFonts w:asciiTheme="minorHAnsi" w:hAnsiTheme="minorHAnsi"/>
              </w:rPr>
              <w:t>structural</w:t>
            </w:r>
            <w:r w:rsidR="00804214">
              <w:rPr>
                <w:rFonts w:asciiTheme="minorHAnsi" w:hAnsiTheme="minorHAnsi"/>
              </w:rPr>
              <w:t xml:space="preserve"> </w:t>
            </w:r>
            <w:r w:rsidR="00FC6067">
              <w:rPr>
                <w:rFonts w:asciiTheme="minorHAnsi" w:hAnsiTheme="minorHAnsi"/>
              </w:rPr>
              <w:t xml:space="preserve">and funding </w:t>
            </w:r>
            <w:r w:rsidR="00804214">
              <w:rPr>
                <w:rFonts w:asciiTheme="minorHAnsi" w:hAnsiTheme="minorHAnsi"/>
              </w:rPr>
              <w:t xml:space="preserve">change is needed </w:t>
            </w:r>
            <w:r w:rsidR="00C21AFA">
              <w:rPr>
                <w:rFonts w:asciiTheme="minorHAnsi" w:hAnsiTheme="minorHAnsi"/>
              </w:rPr>
              <w:t xml:space="preserve">to support some parts of the oral health workforce to practise to the full scope of practice they are registered for. </w:t>
            </w:r>
          </w:p>
        </w:tc>
      </w:tr>
    </w:tbl>
    <w:p w14:paraId="1333E751" w14:textId="77777777" w:rsidR="00B50B46" w:rsidRPr="00D12430" w:rsidRDefault="00B50B46" w:rsidP="00D12430">
      <w:pPr>
        <w:rPr>
          <w:rFonts w:asciiTheme="minorHAnsi" w:hAnsiTheme="minorHAnsi"/>
        </w:rPr>
      </w:pPr>
    </w:p>
    <w:p w14:paraId="480FB0DF" w14:textId="144CE499" w:rsidR="00FD6B28" w:rsidRDefault="005622AD" w:rsidP="005622AD">
      <w:pPr>
        <w:pStyle w:val="Heading2"/>
      </w:pPr>
      <w:bookmarkStart w:id="14" w:name="_Toc204343559"/>
      <w:r>
        <w:t xml:space="preserve">Focus area </w:t>
      </w:r>
      <w:r w:rsidR="00E3672D">
        <w:t>7</w:t>
      </w:r>
      <w:r>
        <w:t>: Improve oral health research, and the collection, reporting and use of oral health data</w:t>
      </w:r>
      <w:bookmarkEnd w:id="14"/>
    </w:p>
    <w:p w14:paraId="52A2FD60" w14:textId="022E8980" w:rsidR="00FD6B28" w:rsidRPr="00D12430" w:rsidRDefault="00C37542" w:rsidP="00D12430">
      <w:pPr>
        <w:rPr>
          <w:rFonts w:asciiTheme="minorHAnsi" w:hAnsiTheme="minorHAnsi"/>
        </w:rPr>
      </w:pPr>
      <w:r>
        <w:rPr>
          <w:rFonts w:asciiTheme="minorHAnsi" w:hAnsiTheme="minorHAnsi"/>
        </w:rPr>
        <w:t xml:space="preserve">Consultations identified this focus area as a key enabler for the plan. </w:t>
      </w:r>
      <w:r w:rsidR="00E97C61">
        <w:rPr>
          <w:rFonts w:asciiTheme="minorHAnsi" w:hAnsiTheme="minorHAnsi"/>
        </w:rPr>
        <w:t xml:space="preserve">Improving data availability and reporting and </w:t>
      </w:r>
      <w:r w:rsidR="00570A02">
        <w:rPr>
          <w:rFonts w:asciiTheme="minorHAnsi" w:hAnsiTheme="minorHAnsi"/>
        </w:rPr>
        <w:t>oral health research underpins all focus areas</w:t>
      </w:r>
      <w:r w:rsidR="00D86E42">
        <w:rPr>
          <w:rFonts w:asciiTheme="minorHAnsi" w:hAnsiTheme="minorHAnsi"/>
        </w:rPr>
        <w:t xml:space="preserve"> in the plan.  </w:t>
      </w:r>
    </w:p>
    <w:tbl>
      <w:tblPr>
        <w:tblStyle w:val="TableGrid"/>
        <w:tblW w:w="0" w:type="auto"/>
        <w:tblLook w:val="04A0" w:firstRow="1" w:lastRow="0" w:firstColumn="1" w:lastColumn="0" w:noHBand="0" w:noVBand="1"/>
      </w:tblPr>
      <w:tblGrid>
        <w:gridCol w:w="3539"/>
        <w:gridCol w:w="5477"/>
      </w:tblGrid>
      <w:tr w:rsidR="00B50B46" w:rsidRPr="00D12430" w14:paraId="380A1A70" w14:textId="77777777" w:rsidTr="00B10CA1">
        <w:tc>
          <w:tcPr>
            <w:tcW w:w="9016" w:type="dxa"/>
            <w:gridSpan w:val="2"/>
            <w:shd w:val="clear" w:color="auto" w:fill="95DCF7" w:themeFill="accent4" w:themeFillTint="66"/>
          </w:tcPr>
          <w:p w14:paraId="02815E44" w14:textId="77777777" w:rsidR="00B50B46" w:rsidRPr="00B10CA1" w:rsidRDefault="00B50B46" w:rsidP="00341B33">
            <w:pPr>
              <w:rPr>
                <w:rFonts w:asciiTheme="minorHAnsi" w:hAnsiTheme="minorHAnsi"/>
                <w:b/>
                <w:bCs/>
              </w:rPr>
            </w:pPr>
            <w:r w:rsidRPr="00B10CA1">
              <w:rPr>
                <w:rFonts w:asciiTheme="minorHAnsi" w:hAnsiTheme="minorHAnsi"/>
                <w:b/>
                <w:bCs/>
              </w:rPr>
              <w:t>2034 outcomes</w:t>
            </w:r>
          </w:p>
        </w:tc>
      </w:tr>
      <w:tr w:rsidR="00B50B46" w:rsidRPr="00D12430" w14:paraId="215FD2DF" w14:textId="77777777" w:rsidTr="00967D8F">
        <w:tc>
          <w:tcPr>
            <w:tcW w:w="3539" w:type="dxa"/>
            <w:shd w:val="clear" w:color="auto" w:fill="CAEDFB" w:themeFill="accent4" w:themeFillTint="33"/>
          </w:tcPr>
          <w:p w14:paraId="78DE786D" w14:textId="1111866C" w:rsidR="00B50B46" w:rsidRPr="00D12430" w:rsidRDefault="00D12915" w:rsidP="00B50B46">
            <w:pPr>
              <w:rPr>
                <w:rFonts w:asciiTheme="minorHAnsi" w:hAnsiTheme="minorHAnsi"/>
              </w:rPr>
            </w:pPr>
            <w:r>
              <w:rPr>
                <w:rFonts w:asciiTheme="minorHAnsi" w:hAnsiTheme="minorHAnsi"/>
              </w:rPr>
              <w:t>7</w:t>
            </w:r>
            <w:r w:rsidR="00967D8F">
              <w:rPr>
                <w:rFonts w:asciiTheme="minorHAnsi" w:hAnsiTheme="minorHAnsi"/>
              </w:rPr>
              <w:t xml:space="preserve">.1 </w:t>
            </w:r>
            <w:r w:rsidR="00B50B46" w:rsidRPr="00D12430">
              <w:rPr>
                <w:rFonts w:asciiTheme="minorHAnsi" w:hAnsiTheme="minorHAnsi"/>
              </w:rPr>
              <w:t>An oral health research and comprehensive data strategy underpins timely and reliable oral health information to inform the strategic planning, funding and evaluation of oral health across the healthcare system</w:t>
            </w:r>
            <w:r w:rsidR="00B50B46">
              <w:rPr>
                <w:rFonts w:asciiTheme="minorHAnsi" w:hAnsiTheme="minorHAnsi"/>
              </w:rPr>
              <w:t>.</w:t>
            </w:r>
          </w:p>
          <w:p w14:paraId="76A51C52" w14:textId="77777777" w:rsidR="00B50B46" w:rsidRPr="00D12430" w:rsidRDefault="00B50B46" w:rsidP="00341B33">
            <w:pPr>
              <w:rPr>
                <w:rFonts w:asciiTheme="minorHAnsi" w:hAnsiTheme="minorHAnsi"/>
              </w:rPr>
            </w:pPr>
          </w:p>
        </w:tc>
        <w:tc>
          <w:tcPr>
            <w:tcW w:w="5477" w:type="dxa"/>
          </w:tcPr>
          <w:p w14:paraId="373C5A45" w14:textId="2CFDE295" w:rsidR="00B50B46" w:rsidRPr="00D12430" w:rsidRDefault="00404FCE" w:rsidP="00341B33">
            <w:pPr>
              <w:rPr>
                <w:rFonts w:asciiTheme="minorHAnsi" w:hAnsiTheme="minorHAnsi"/>
              </w:rPr>
            </w:pPr>
            <w:r>
              <w:rPr>
                <w:rFonts w:asciiTheme="minorHAnsi" w:hAnsiTheme="minorHAnsi"/>
              </w:rPr>
              <w:t xml:space="preserve">We heard that </w:t>
            </w:r>
            <w:r w:rsidR="00CF78C0">
              <w:rPr>
                <w:rFonts w:asciiTheme="minorHAnsi" w:hAnsiTheme="minorHAnsi"/>
              </w:rPr>
              <w:t xml:space="preserve">a planned approach to data collection and oral health research is needed. </w:t>
            </w:r>
          </w:p>
        </w:tc>
      </w:tr>
      <w:tr w:rsidR="00B50B46" w:rsidRPr="00D12430" w14:paraId="2081C7F5" w14:textId="77777777" w:rsidTr="00967D8F">
        <w:tc>
          <w:tcPr>
            <w:tcW w:w="3539" w:type="dxa"/>
            <w:shd w:val="clear" w:color="auto" w:fill="CAEDFB" w:themeFill="accent4" w:themeFillTint="33"/>
          </w:tcPr>
          <w:p w14:paraId="10577B1D" w14:textId="0F63C1F9" w:rsidR="00B50B46" w:rsidRDefault="00D12915" w:rsidP="00B50B46">
            <w:pPr>
              <w:rPr>
                <w:rFonts w:asciiTheme="minorHAnsi" w:hAnsiTheme="minorHAnsi"/>
              </w:rPr>
            </w:pPr>
            <w:r>
              <w:rPr>
                <w:rFonts w:asciiTheme="minorHAnsi" w:hAnsiTheme="minorHAnsi"/>
              </w:rPr>
              <w:t>7</w:t>
            </w:r>
            <w:r w:rsidR="00967D8F">
              <w:rPr>
                <w:rFonts w:asciiTheme="minorHAnsi" w:hAnsiTheme="minorHAnsi"/>
              </w:rPr>
              <w:t xml:space="preserve">.2 </w:t>
            </w:r>
            <w:r w:rsidR="00B50B46" w:rsidRPr="00D12430">
              <w:rPr>
                <w:rFonts w:asciiTheme="minorHAnsi" w:hAnsiTheme="minorHAnsi"/>
              </w:rPr>
              <w:t xml:space="preserve">Data collection supports an improved evidence base for an effective oral healthcare system. </w:t>
            </w:r>
          </w:p>
          <w:p w14:paraId="6E420816" w14:textId="62B63AAE" w:rsidR="00F607B8" w:rsidRPr="00D12430" w:rsidRDefault="00F607B8" w:rsidP="00B50B46">
            <w:pPr>
              <w:rPr>
                <w:rFonts w:asciiTheme="minorHAnsi" w:hAnsiTheme="minorHAnsi"/>
              </w:rPr>
            </w:pPr>
          </w:p>
        </w:tc>
        <w:tc>
          <w:tcPr>
            <w:tcW w:w="5477" w:type="dxa"/>
          </w:tcPr>
          <w:p w14:paraId="763D15FF" w14:textId="795C237F" w:rsidR="00B50B46" w:rsidRPr="00D12430" w:rsidRDefault="00B41444" w:rsidP="00341B33">
            <w:pPr>
              <w:rPr>
                <w:rFonts w:asciiTheme="minorHAnsi" w:hAnsiTheme="minorHAnsi"/>
              </w:rPr>
            </w:pPr>
            <w:r>
              <w:rPr>
                <w:rFonts w:asciiTheme="minorHAnsi" w:hAnsiTheme="minorHAnsi"/>
              </w:rPr>
              <w:t xml:space="preserve">We heard that </w:t>
            </w:r>
            <w:r w:rsidR="003226D9">
              <w:rPr>
                <w:rFonts w:asciiTheme="minorHAnsi" w:hAnsiTheme="minorHAnsi"/>
              </w:rPr>
              <w:t>better evidence</w:t>
            </w:r>
            <w:r w:rsidR="008D04A2">
              <w:rPr>
                <w:rFonts w:asciiTheme="minorHAnsi" w:hAnsiTheme="minorHAnsi"/>
              </w:rPr>
              <w:t xml:space="preserve"> is needed</w:t>
            </w:r>
            <w:r w:rsidR="003226D9">
              <w:rPr>
                <w:rFonts w:asciiTheme="minorHAnsi" w:hAnsiTheme="minorHAnsi"/>
              </w:rPr>
              <w:t xml:space="preserve"> on how oral health care</w:t>
            </w:r>
            <w:r w:rsidR="008D04A2">
              <w:rPr>
                <w:rFonts w:asciiTheme="minorHAnsi" w:hAnsiTheme="minorHAnsi"/>
              </w:rPr>
              <w:t xml:space="preserve"> works in Australia. </w:t>
            </w:r>
            <w:r w:rsidR="00555DA3">
              <w:rPr>
                <w:rFonts w:asciiTheme="minorHAnsi" w:hAnsiTheme="minorHAnsi"/>
              </w:rPr>
              <w:t xml:space="preserve"> </w:t>
            </w:r>
          </w:p>
        </w:tc>
      </w:tr>
      <w:tr w:rsidR="004B76D8" w:rsidRPr="00D12430" w14:paraId="4EE82C45" w14:textId="77777777" w:rsidTr="00967D8F">
        <w:tc>
          <w:tcPr>
            <w:tcW w:w="3539" w:type="dxa"/>
            <w:shd w:val="clear" w:color="auto" w:fill="CAEDFB" w:themeFill="accent4" w:themeFillTint="33"/>
          </w:tcPr>
          <w:p w14:paraId="485B5DDF" w14:textId="23805848" w:rsidR="00F607B8" w:rsidRPr="00D12430" w:rsidRDefault="00D12915" w:rsidP="00F607B8">
            <w:pPr>
              <w:rPr>
                <w:rFonts w:asciiTheme="minorHAnsi" w:hAnsiTheme="minorHAnsi"/>
              </w:rPr>
            </w:pPr>
            <w:r>
              <w:rPr>
                <w:rFonts w:asciiTheme="minorHAnsi" w:hAnsiTheme="minorHAnsi"/>
              </w:rPr>
              <w:t>7</w:t>
            </w:r>
            <w:r w:rsidR="00967D8F">
              <w:rPr>
                <w:rFonts w:asciiTheme="minorHAnsi" w:hAnsiTheme="minorHAnsi"/>
              </w:rPr>
              <w:t xml:space="preserve">.3 </w:t>
            </w:r>
            <w:r w:rsidR="00F607B8" w:rsidRPr="00D12430">
              <w:rPr>
                <w:rFonts w:asciiTheme="minorHAnsi" w:hAnsiTheme="minorHAnsi"/>
              </w:rPr>
              <w:t xml:space="preserve">Research informs best-practice in oral health care. </w:t>
            </w:r>
          </w:p>
          <w:p w14:paraId="6BEB4A93" w14:textId="77777777" w:rsidR="004B76D8" w:rsidRPr="00D12430" w:rsidRDefault="004B76D8" w:rsidP="00B50B46">
            <w:pPr>
              <w:rPr>
                <w:rFonts w:asciiTheme="minorHAnsi" w:hAnsiTheme="minorHAnsi"/>
              </w:rPr>
            </w:pPr>
          </w:p>
        </w:tc>
        <w:tc>
          <w:tcPr>
            <w:tcW w:w="5477" w:type="dxa"/>
          </w:tcPr>
          <w:p w14:paraId="3C98D9CC" w14:textId="44AB5325" w:rsidR="004B76D8" w:rsidRPr="00D12430" w:rsidRDefault="005404BF" w:rsidP="00341B33">
            <w:pPr>
              <w:rPr>
                <w:rFonts w:asciiTheme="minorHAnsi" w:hAnsiTheme="minorHAnsi"/>
              </w:rPr>
            </w:pPr>
            <w:r>
              <w:rPr>
                <w:rFonts w:asciiTheme="minorHAnsi" w:hAnsiTheme="minorHAnsi"/>
              </w:rPr>
              <w:t>Consultations advised that e</w:t>
            </w:r>
            <w:r w:rsidR="008E0D49">
              <w:rPr>
                <w:rFonts w:asciiTheme="minorHAnsi" w:hAnsiTheme="minorHAnsi"/>
              </w:rPr>
              <w:t>vidence-based guidelines are needed to support</w:t>
            </w:r>
            <w:r>
              <w:rPr>
                <w:rFonts w:asciiTheme="minorHAnsi" w:hAnsiTheme="minorHAnsi"/>
              </w:rPr>
              <w:t xml:space="preserve"> the delivery of oral health care. </w:t>
            </w:r>
          </w:p>
        </w:tc>
      </w:tr>
    </w:tbl>
    <w:p w14:paraId="47977A48" w14:textId="77777777" w:rsidR="000E5F39" w:rsidRPr="00E3672D" w:rsidRDefault="000E5F39" w:rsidP="00E3672D"/>
    <w:sectPr w:rsidR="000E5F39" w:rsidRPr="00E3672D" w:rsidSect="00EB4B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53F511" w14:textId="77777777" w:rsidR="00D706E7" w:rsidRDefault="00D706E7" w:rsidP="00986D49">
      <w:pPr>
        <w:spacing w:after="0" w:line="240" w:lineRule="auto"/>
      </w:pPr>
      <w:r>
        <w:separator/>
      </w:r>
    </w:p>
  </w:endnote>
  <w:endnote w:type="continuationSeparator" w:id="0">
    <w:p w14:paraId="28E95DE3" w14:textId="77777777" w:rsidR="00D706E7" w:rsidRDefault="00D706E7" w:rsidP="00986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9410433"/>
      <w:docPartObj>
        <w:docPartGallery w:val="Page Numbers (Bottom of Page)"/>
        <w:docPartUnique/>
      </w:docPartObj>
    </w:sdtPr>
    <w:sdtEndPr>
      <w:rPr>
        <w:noProof/>
      </w:rPr>
    </w:sdtEndPr>
    <w:sdtContent>
      <w:p w14:paraId="2D4FA3E6" w14:textId="193F5407" w:rsidR="00986D49" w:rsidRDefault="00753B07">
        <w:pPr>
          <w:pStyle w:val="Footer"/>
          <w:jc w:val="right"/>
        </w:pPr>
      </w:p>
    </w:sdtContent>
  </w:sdt>
  <w:p w14:paraId="63AE0B17" w14:textId="77777777" w:rsidR="00986D49" w:rsidRDefault="00986D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414AFB" w14:textId="77777777" w:rsidR="00D706E7" w:rsidRDefault="00D706E7" w:rsidP="00986D49">
      <w:pPr>
        <w:spacing w:after="0" w:line="240" w:lineRule="auto"/>
      </w:pPr>
      <w:r>
        <w:separator/>
      </w:r>
    </w:p>
  </w:footnote>
  <w:footnote w:type="continuationSeparator" w:id="0">
    <w:p w14:paraId="12CD5C94" w14:textId="77777777" w:rsidR="00D706E7" w:rsidRDefault="00D706E7" w:rsidP="00986D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7954829"/>
      <w:docPartObj>
        <w:docPartGallery w:val="Page Numbers (Top of Page)"/>
        <w:docPartUnique/>
      </w:docPartObj>
    </w:sdtPr>
    <w:sdtEndPr>
      <w:rPr>
        <w:noProof/>
      </w:rPr>
    </w:sdtEndPr>
    <w:sdtContent>
      <w:p w14:paraId="51CEA395" w14:textId="3E6B7993" w:rsidR="00905D27" w:rsidRDefault="00905D2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98FCA9D" w14:textId="77777777" w:rsidR="00905D27" w:rsidRDefault="00905D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57985"/>
    <w:multiLevelType w:val="hybridMultilevel"/>
    <w:tmpl w:val="8F40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9C6AD2"/>
    <w:multiLevelType w:val="hybridMultilevel"/>
    <w:tmpl w:val="8F32EF6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EAC05CF"/>
    <w:multiLevelType w:val="hybridMultilevel"/>
    <w:tmpl w:val="ACBC53B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EAF5E17"/>
    <w:multiLevelType w:val="hybridMultilevel"/>
    <w:tmpl w:val="D19612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1148AB"/>
    <w:multiLevelType w:val="hybridMultilevel"/>
    <w:tmpl w:val="D910C6E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8061C35"/>
    <w:multiLevelType w:val="hybridMultilevel"/>
    <w:tmpl w:val="966C3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F465BA"/>
    <w:multiLevelType w:val="hybridMultilevel"/>
    <w:tmpl w:val="8B3C0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3F34A4"/>
    <w:multiLevelType w:val="hybridMultilevel"/>
    <w:tmpl w:val="8424B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C05284"/>
    <w:multiLevelType w:val="hybridMultilevel"/>
    <w:tmpl w:val="D910C6E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01F56D8"/>
    <w:multiLevelType w:val="hybridMultilevel"/>
    <w:tmpl w:val="D910C6E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0B371D6"/>
    <w:multiLevelType w:val="hybridMultilevel"/>
    <w:tmpl w:val="D910C6E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1F132C6"/>
    <w:multiLevelType w:val="hybridMultilevel"/>
    <w:tmpl w:val="1AD26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9B24E5"/>
    <w:multiLevelType w:val="hybridMultilevel"/>
    <w:tmpl w:val="5CB2A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D50FFA"/>
    <w:multiLevelType w:val="hybridMultilevel"/>
    <w:tmpl w:val="D910C6E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9577451"/>
    <w:multiLevelType w:val="hybridMultilevel"/>
    <w:tmpl w:val="38C41A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48925401"/>
    <w:multiLevelType w:val="hybridMultilevel"/>
    <w:tmpl w:val="F3F461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B0C3D38"/>
    <w:multiLevelType w:val="hybridMultilevel"/>
    <w:tmpl w:val="D910C6E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59A37C2"/>
    <w:multiLevelType w:val="hybridMultilevel"/>
    <w:tmpl w:val="B9381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746657"/>
    <w:multiLevelType w:val="hybridMultilevel"/>
    <w:tmpl w:val="D910C6E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98A4CA4"/>
    <w:multiLevelType w:val="hybridMultilevel"/>
    <w:tmpl w:val="FBF0B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9D345D5"/>
    <w:multiLevelType w:val="hybridMultilevel"/>
    <w:tmpl w:val="69A07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16E7E10"/>
    <w:multiLevelType w:val="hybridMultilevel"/>
    <w:tmpl w:val="029C78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097B1D"/>
    <w:multiLevelType w:val="hybridMultilevel"/>
    <w:tmpl w:val="B1F46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7A909EC"/>
    <w:multiLevelType w:val="hybridMultilevel"/>
    <w:tmpl w:val="D910C6E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69077503"/>
    <w:multiLevelType w:val="hybridMultilevel"/>
    <w:tmpl w:val="9E801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90733C"/>
    <w:multiLevelType w:val="hybridMultilevel"/>
    <w:tmpl w:val="D910C6E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6FF72F48"/>
    <w:multiLevelType w:val="hybridMultilevel"/>
    <w:tmpl w:val="D910C6E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01533C0"/>
    <w:multiLevelType w:val="hybridMultilevel"/>
    <w:tmpl w:val="0FE658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3A0C11"/>
    <w:multiLevelType w:val="hybridMultilevel"/>
    <w:tmpl w:val="2E608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1B7C65"/>
    <w:multiLevelType w:val="hybridMultilevel"/>
    <w:tmpl w:val="1E644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4C328F7"/>
    <w:multiLevelType w:val="hybridMultilevel"/>
    <w:tmpl w:val="D910C6E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6CB16F3"/>
    <w:multiLevelType w:val="hybridMultilevel"/>
    <w:tmpl w:val="D910C6E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79E21E22"/>
    <w:multiLevelType w:val="hybridMultilevel"/>
    <w:tmpl w:val="4C5273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7E6602"/>
    <w:multiLevelType w:val="hybridMultilevel"/>
    <w:tmpl w:val="40A0B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67688037">
    <w:abstractNumId w:val="8"/>
  </w:num>
  <w:num w:numId="2" w16cid:durableId="317921071">
    <w:abstractNumId w:val="13"/>
  </w:num>
  <w:num w:numId="3" w16cid:durableId="1277954211">
    <w:abstractNumId w:val="30"/>
  </w:num>
  <w:num w:numId="4" w16cid:durableId="380247756">
    <w:abstractNumId w:val="25"/>
  </w:num>
  <w:num w:numId="5" w16cid:durableId="1408261472">
    <w:abstractNumId w:val="16"/>
  </w:num>
  <w:num w:numId="6" w16cid:durableId="325206420">
    <w:abstractNumId w:val="2"/>
  </w:num>
  <w:num w:numId="7" w16cid:durableId="1590889195">
    <w:abstractNumId w:val="9"/>
  </w:num>
  <w:num w:numId="8" w16cid:durableId="342099155">
    <w:abstractNumId w:val="4"/>
  </w:num>
  <w:num w:numId="9" w16cid:durableId="624196842">
    <w:abstractNumId w:val="32"/>
  </w:num>
  <w:num w:numId="10" w16cid:durableId="1477723525">
    <w:abstractNumId w:val="18"/>
  </w:num>
  <w:num w:numId="11" w16cid:durableId="637802366">
    <w:abstractNumId w:val="27"/>
  </w:num>
  <w:num w:numId="12" w16cid:durableId="36323913">
    <w:abstractNumId w:val="7"/>
  </w:num>
  <w:num w:numId="13" w16cid:durableId="1932616177">
    <w:abstractNumId w:val="12"/>
  </w:num>
  <w:num w:numId="14" w16cid:durableId="611131696">
    <w:abstractNumId w:val="28"/>
  </w:num>
  <w:num w:numId="15" w16cid:durableId="1001546053">
    <w:abstractNumId w:val="19"/>
  </w:num>
  <w:num w:numId="16" w16cid:durableId="1869755620">
    <w:abstractNumId w:val="20"/>
  </w:num>
  <w:num w:numId="17" w16cid:durableId="1762531866">
    <w:abstractNumId w:val="0"/>
  </w:num>
  <w:num w:numId="18" w16cid:durableId="1631009761">
    <w:abstractNumId w:val="24"/>
  </w:num>
  <w:num w:numId="19" w16cid:durableId="1959989796">
    <w:abstractNumId w:val="6"/>
  </w:num>
  <w:num w:numId="20" w16cid:durableId="439686900">
    <w:abstractNumId w:val="15"/>
  </w:num>
  <w:num w:numId="21" w16cid:durableId="932250542">
    <w:abstractNumId w:val="14"/>
  </w:num>
  <w:num w:numId="22" w16cid:durableId="312562137">
    <w:abstractNumId w:val="10"/>
  </w:num>
  <w:num w:numId="23" w16cid:durableId="667443702">
    <w:abstractNumId w:val="31"/>
  </w:num>
  <w:num w:numId="24" w16cid:durableId="1472868063">
    <w:abstractNumId w:val="23"/>
  </w:num>
  <w:num w:numId="25" w16cid:durableId="596715582">
    <w:abstractNumId w:val="26"/>
  </w:num>
  <w:num w:numId="26" w16cid:durableId="483594967">
    <w:abstractNumId w:val="1"/>
  </w:num>
  <w:num w:numId="27" w16cid:durableId="1394963556">
    <w:abstractNumId w:val="33"/>
  </w:num>
  <w:num w:numId="28" w16cid:durableId="341204083">
    <w:abstractNumId w:val="21"/>
  </w:num>
  <w:num w:numId="29" w16cid:durableId="650333112">
    <w:abstractNumId w:val="5"/>
  </w:num>
  <w:num w:numId="30" w16cid:durableId="1627472273">
    <w:abstractNumId w:val="3"/>
  </w:num>
  <w:num w:numId="31" w16cid:durableId="64304487">
    <w:abstractNumId w:val="22"/>
  </w:num>
  <w:num w:numId="32" w16cid:durableId="1289975967">
    <w:abstractNumId w:val="11"/>
  </w:num>
  <w:num w:numId="33" w16cid:durableId="1107382453">
    <w:abstractNumId w:val="29"/>
  </w:num>
  <w:num w:numId="34" w16cid:durableId="12569830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B4A"/>
    <w:rsid w:val="000004EB"/>
    <w:rsid w:val="0001377F"/>
    <w:rsid w:val="00016F03"/>
    <w:rsid w:val="00017954"/>
    <w:rsid w:val="00017A72"/>
    <w:rsid w:val="0002071D"/>
    <w:rsid w:val="00020A06"/>
    <w:rsid w:val="00022D2B"/>
    <w:rsid w:val="0002378D"/>
    <w:rsid w:val="0002482E"/>
    <w:rsid w:val="00032EE9"/>
    <w:rsid w:val="00044EC6"/>
    <w:rsid w:val="000500C5"/>
    <w:rsid w:val="00052C33"/>
    <w:rsid w:val="0005346A"/>
    <w:rsid w:val="000546E8"/>
    <w:rsid w:val="000553D6"/>
    <w:rsid w:val="00056C8A"/>
    <w:rsid w:val="00066E5E"/>
    <w:rsid w:val="00073CE1"/>
    <w:rsid w:val="00075037"/>
    <w:rsid w:val="000820E1"/>
    <w:rsid w:val="00085B32"/>
    <w:rsid w:val="000914FD"/>
    <w:rsid w:val="00092D96"/>
    <w:rsid w:val="000A3E2A"/>
    <w:rsid w:val="000A5421"/>
    <w:rsid w:val="000A70F9"/>
    <w:rsid w:val="000B3EBE"/>
    <w:rsid w:val="000B73E9"/>
    <w:rsid w:val="000C51AF"/>
    <w:rsid w:val="000C5969"/>
    <w:rsid w:val="000C7C05"/>
    <w:rsid w:val="000D2036"/>
    <w:rsid w:val="000D49B1"/>
    <w:rsid w:val="000E197E"/>
    <w:rsid w:val="000E4A6B"/>
    <w:rsid w:val="000E5F39"/>
    <w:rsid w:val="000E7F83"/>
    <w:rsid w:val="000F3324"/>
    <w:rsid w:val="000F609E"/>
    <w:rsid w:val="000F7560"/>
    <w:rsid w:val="00103C56"/>
    <w:rsid w:val="001064FB"/>
    <w:rsid w:val="00106E16"/>
    <w:rsid w:val="00111CC7"/>
    <w:rsid w:val="001163BC"/>
    <w:rsid w:val="00116A84"/>
    <w:rsid w:val="001262D8"/>
    <w:rsid w:val="00126B64"/>
    <w:rsid w:val="00131CC3"/>
    <w:rsid w:val="00135CCF"/>
    <w:rsid w:val="001411CC"/>
    <w:rsid w:val="00142D92"/>
    <w:rsid w:val="00146C69"/>
    <w:rsid w:val="001559C4"/>
    <w:rsid w:val="001610C5"/>
    <w:rsid w:val="00176D6A"/>
    <w:rsid w:val="00177BDE"/>
    <w:rsid w:val="00181800"/>
    <w:rsid w:val="001829D0"/>
    <w:rsid w:val="00184739"/>
    <w:rsid w:val="00185C1D"/>
    <w:rsid w:val="001863C7"/>
    <w:rsid w:val="00196A8D"/>
    <w:rsid w:val="00197F0F"/>
    <w:rsid w:val="001A03B7"/>
    <w:rsid w:val="001A0484"/>
    <w:rsid w:val="001A0956"/>
    <w:rsid w:val="001A3508"/>
    <w:rsid w:val="001A3864"/>
    <w:rsid w:val="001A5A04"/>
    <w:rsid w:val="001B39A9"/>
    <w:rsid w:val="001B565A"/>
    <w:rsid w:val="001C00C1"/>
    <w:rsid w:val="001C25C7"/>
    <w:rsid w:val="001C60D3"/>
    <w:rsid w:val="001C68A7"/>
    <w:rsid w:val="001C6996"/>
    <w:rsid w:val="001D3A47"/>
    <w:rsid w:val="001D5D05"/>
    <w:rsid w:val="001E0A54"/>
    <w:rsid w:val="001F062C"/>
    <w:rsid w:val="001F1582"/>
    <w:rsid w:val="001F38D3"/>
    <w:rsid w:val="0020464E"/>
    <w:rsid w:val="00204BB6"/>
    <w:rsid w:val="002106D7"/>
    <w:rsid w:val="00212FA6"/>
    <w:rsid w:val="00213A64"/>
    <w:rsid w:val="00213C3C"/>
    <w:rsid w:val="00216128"/>
    <w:rsid w:val="00217757"/>
    <w:rsid w:val="00220188"/>
    <w:rsid w:val="00224422"/>
    <w:rsid w:val="0022579E"/>
    <w:rsid w:val="00227D12"/>
    <w:rsid w:val="002347E4"/>
    <w:rsid w:val="00241130"/>
    <w:rsid w:val="00260388"/>
    <w:rsid w:val="00261F6D"/>
    <w:rsid w:val="00263CB4"/>
    <w:rsid w:val="00265ED3"/>
    <w:rsid w:val="00267A15"/>
    <w:rsid w:val="00270285"/>
    <w:rsid w:val="00272946"/>
    <w:rsid w:val="00273F53"/>
    <w:rsid w:val="00276DEA"/>
    <w:rsid w:val="00280050"/>
    <w:rsid w:val="002903D7"/>
    <w:rsid w:val="002906FE"/>
    <w:rsid w:val="00290A4C"/>
    <w:rsid w:val="00294D27"/>
    <w:rsid w:val="002957B3"/>
    <w:rsid w:val="00296742"/>
    <w:rsid w:val="002A14A6"/>
    <w:rsid w:val="002A410D"/>
    <w:rsid w:val="002B0C45"/>
    <w:rsid w:val="002B5D50"/>
    <w:rsid w:val="002B60D7"/>
    <w:rsid w:val="002C1B09"/>
    <w:rsid w:val="002C6D6C"/>
    <w:rsid w:val="002D01C5"/>
    <w:rsid w:val="002D2BF2"/>
    <w:rsid w:val="002D3FC9"/>
    <w:rsid w:val="002D428E"/>
    <w:rsid w:val="002E08B5"/>
    <w:rsid w:val="002E6CBE"/>
    <w:rsid w:val="002F4A76"/>
    <w:rsid w:val="002F4E80"/>
    <w:rsid w:val="00300876"/>
    <w:rsid w:val="0030141D"/>
    <w:rsid w:val="00301F06"/>
    <w:rsid w:val="00302B6D"/>
    <w:rsid w:val="003102E2"/>
    <w:rsid w:val="00312270"/>
    <w:rsid w:val="00314061"/>
    <w:rsid w:val="00321799"/>
    <w:rsid w:val="003226D9"/>
    <w:rsid w:val="00323F0C"/>
    <w:rsid w:val="0032793C"/>
    <w:rsid w:val="003306CE"/>
    <w:rsid w:val="00330C24"/>
    <w:rsid w:val="0033101C"/>
    <w:rsid w:val="00335F25"/>
    <w:rsid w:val="00336BB6"/>
    <w:rsid w:val="00336D75"/>
    <w:rsid w:val="00340CF4"/>
    <w:rsid w:val="00342E34"/>
    <w:rsid w:val="0034321A"/>
    <w:rsid w:val="0034478B"/>
    <w:rsid w:val="0035671B"/>
    <w:rsid w:val="003579FA"/>
    <w:rsid w:val="003604F2"/>
    <w:rsid w:val="003608B0"/>
    <w:rsid w:val="00362D0D"/>
    <w:rsid w:val="00363195"/>
    <w:rsid w:val="0036500A"/>
    <w:rsid w:val="00367EBA"/>
    <w:rsid w:val="00367EFE"/>
    <w:rsid w:val="00370B7D"/>
    <w:rsid w:val="00376D75"/>
    <w:rsid w:val="00377408"/>
    <w:rsid w:val="00382853"/>
    <w:rsid w:val="0039662C"/>
    <w:rsid w:val="003A0096"/>
    <w:rsid w:val="003A1843"/>
    <w:rsid w:val="003A4978"/>
    <w:rsid w:val="003A53B8"/>
    <w:rsid w:val="003A7CCB"/>
    <w:rsid w:val="003C05D2"/>
    <w:rsid w:val="003C5C1A"/>
    <w:rsid w:val="003C643E"/>
    <w:rsid w:val="003D5CC7"/>
    <w:rsid w:val="003D7E7F"/>
    <w:rsid w:val="003E0F16"/>
    <w:rsid w:val="003E3B0F"/>
    <w:rsid w:val="003F313D"/>
    <w:rsid w:val="004020B6"/>
    <w:rsid w:val="00402AC2"/>
    <w:rsid w:val="00404D68"/>
    <w:rsid w:val="00404FCE"/>
    <w:rsid w:val="00405394"/>
    <w:rsid w:val="00407363"/>
    <w:rsid w:val="00407FB7"/>
    <w:rsid w:val="00414E09"/>
    <w:rsid w:val="00424E3B"/>
    <w:rsid w:val="00426FAA"/>
    <w:rsid w:val="00430E90"/>
    <w:rsid w:val="0043587D"/>
    <w:rsid w:val="00437EB7"/>
    <w:rsid w:val="00447012"/>
    <w:rsid w:val="004470A8"/>
    <w:rsid w:val="00455422"/>
    <w:rsid w:val="00460246"/>
    <w:rsid w:val="00462578"/>
    <w:rsid w:val="0047026B"/>
    <w:rsid w:val="00475237"/>
    <w:rsid w:val="00475CC7"/>
    <w:rsid w:val="00480CEF"/>
    <w:rsid w:val="0048266A"/>
    <w:rsid w:val="00483911"/>
    <w:rsid w:val="00493BE5"/>
    <w:rsid w:val="0049458F"/>
    <w:rsid w:val="004A1EF5"/>
    <w:rsid w:val="004A37F3"/>
    <w:rsid w:val="004A4F77"/>
    <w:rsid w:val="004A7906"/>
    <w:rsid w:val="004B5787"/>
    <w:rsid w:val="004B6E84"/>
    <w:rsid w:val="004B76D8"/>
    <w:rsid w:val="004C26F5"/>
    <w:rsid w:val="004C4AEB"/>
    <w:rsid w:val="004C6C76"/>
    <w:rsid w:val="004D2A0D"/>
    <w:rsid w:val="004D508C"/>
    <w:rsid w:val="004D5CFC"/>
    <w:rsid w:val="004D5E8B"/>
    <w:rsid w:val="004D7DEC"/>
    <w:rsid w:val="004E0A86"/>
    <w:rsid w:val="004E149E"/>
    <w:rsid w:val="004F4432"/>
    <w:rsid w:val="004F4491"/>
    <w:rsid w:val="004F470C"/>
    <w:rsid w:val="004F56BD"/>
    <w:rsid w:val="005021AF"/>
    <w:rsid w:val="00505A84"/>
    <w:rsid w:val="0051244C"/>
    <w:rsid w:val="0051378E"/>
    <w:rsid w:val="00523AB3"/>
    <w:rsid w:val="00525ED1"/>
    <w:rsid w:val="005404BF"/>
    <w:rsid w:val="00544A59"/>
    <w:rsid w:val="0054588F"/>
    <w:rsid w:val="00547619"/>
    <w:rsid w:val="00551512"/>
    <w:rsid w:val="00555DA3"/>
    <w:rsid w:val="005572E4"/>
    <w:rsid w:val="00557970"/>
    <w:rsid w:val="00557F82"/>
    <w:rsid w:val="005622AD"/>
    <w:rsid w:val="00564C90"/>
    <w:rsid w:val="00570A02"/>
    <w:rsid w:val="00570A8C"/>
    <w:rsid w:val="00571822"/>
    <w:rsid w:val="005734B6"/>
    <w:rsid w:val="00575EF0"/>
    <w:rsid w:val="00576083"/>
    <w:rsid w:val="005779FD"/>
    <w:rsid w:val="00580CC3"/>
    <w:rsid w:val="00587EC4"/>
    <w:rsid w:val="00590436"/>
    <w:rsid w:val="005920A9"/>
    <w:rsid w:val="005947D6"/>
    <w:rsid w:val="005B1242"/>
    <w:rsid w:val="005B592B"/>
    <w:rsid w:val="005C1073"/>
    <w:rsid w:val="005C4260"/>
    <w:rsid w:val="005C72ED"/>
    <w:rsid w:val="005D3104"/>
    <w:rsid w:val="005D477C"/>
    <w:rsid w:val="005E59FE"/>
    <w:rsid w:val="005E65D4"/>
    <w:rsid w:val="005E7E87"/>
    <w:rsid w:val="005F37BA"/>
    <w:rsid w:val="005F622D"/>
    <w:rsid w:val="00604601"/>
    <w:rsid w:val="00605503"/>
    <w:rsid w:val="00606FB7"/>
    <w:rsid w:val="00617560"/>
    <w:rsid w:val="0062287B"/>
    <w:rsid w:val="00623EBA"/>
    <w:rsid w:val="0062523F"/>
    <w:rsid w:val="00636C45"/>
    <w:rsid w:val="00637055"/>
    <w:rsid w:val="00642E09"/>
    <w:rsid w:val="0064322B"/>
    <w:rsid w:val="00655073"/>
    <w:rsid w:val="006559B3"/>
    <w:rsid w:val="006652DA"/>
    <w:rsid w:val="00666E53"/>
    <w:rsid w:val="00674102"/>
    <w:rsid w:val="00676BD4"/>
    <w:rsid w:val="00680BA3"/>
    <w:rsid w:val="006915FB"/>
    <w:rsid w:val="006967C0"/>
    <w:rsid w:val="006977C2"/>
    <w:rsid w:val="006A6703"/>
    <w:rsid w:val="006A7A8A"/>
    <w:rsid w:val="006A7C00"/>
    <w:rsid w:val="006B069A"/>
    <w:rsid w:val="006B1809"/>
    <w:rsid w:val="006B1B00"/>
    <w:rsid w:val="006B6191"/>
    <w:rsid w:val="006D4B50"/>
    <w:rsid w:val="006E0C32"/>
    <w:rsid w:val="006E15AE"/>
    <w:rsid w:val="006E2C82"/>
    <w:rsid w:val="006E7A0C"/>
    <w:rsid w:val="006F0ADC"/>
    <w:rsid w:val="006F26AC"/>
    <w:rsid w:val="006F7D65"/>
    <w:rsid w:val="00701EEC"/>
    <w:rsid w:val="00713335"/>
    <w:rsid w:val="00714747"/>
    <w:rsid w:val="007164CA"/>
    <w:rsid w:val="00720059"/>
    <w:rsid w:val="0072059A"/>
    <w:rsid w:val="00721ECB"/>
    <w:rsid w:val="00730C16"/>
    <w:rsid w:val="00731ECC"/>
    <w:rsid w:val="00735FAC"/>
    <w:rsid w:val="00736E5E"/>
    <w:rsid w:val="00743D75"/>
    <w:rsid w:val="007467C4"/>
    <w:rsid w:val="00751547"/>
    <w:rsid w:val="00753B07"/>
    <w:rsid w:val="00753F05"/>
    <w:rsid w:val="00754285"/>
    <w:rsid w:val="0075761E"/>
    <w:rsid w:val="007621B0"/>
    <w:rsid w:val="00771552"/>
    <w:rsid w:val="00773877"/>
    <w:rsid w:val="00774CD5"/>
    <w:rsid w:val="00780509"/>
    <w:rsid w:val="00781EB5"/>
    <w:rsid w:val="00784EEE"/>
    <w:rsid w:val="00785C40"/>
    <w:rsid w:val="0079166C"/>
    <w:rsid w:val="007926F1"/>
    <w:rsid w:val="0079574F"/>
    <w:rsid w:val="007A49B6"/>
    <w:rsid w:val="007B0A6F"/>
    <w:rsid w:val="007B0BCF"/>
    <w:rsid w:val="007B4280"/>
    <w:rsid w:val="007C230E"/>
    <w:rsid w:val="007D341C"/>
    <w:rsid w:val="007D6195"/>
    <w:rsid w:val="007E061E"/>
    <w:rsid w:val="007E208D"/>
    <w:rsid w:val="007E51A4"/>
    <w:rsid w:val="00804214"/>
    <w:rsid w:val="0080472A"/>
    <w:rsid w:val="008069F6"/>
    <w:rsid w:val="0081245A"/>
    <w:rsid w:val="00813186"/>
    <w:rsid w:val="00814B99"/>
    <w:rsid w:val="00817E77"/>
    <w:rsid w:val="008208B9"/>
    <w:rsid w:val="0082137D"/>
    <w:rsid w:val="008341B0"/>
    <w:rsid w:val="0084590E"/>
    <w:rsid w:val="008522B0"/>
    <w:rsid w:val="00857EB5"/>
    <w:rsid w:val="00862EE7"/>
    <w:rsid w:val="0086430A"/>
    <w:rsid w:val="008652EC"/>
    <w:rsid w:val="00866528"/>
    <w:rsid w:val="00867270"/>
    <w:rsid w:val="0087224C"/>
    <w:rsid w:val="0088346F"/>
    <w:rsid w:val="008904BC"/>
    <w:rsid w:val="00892190"/>
    <w:rsid w:val="00892546"/>
    <w:rsid w:val="008A0EDF"/>
    <w:rsid w:val="008A6853"/>
    <w:rsid w:val="008B6CFF"/>
    <w:rsid w:val="008C3607"/>
    <w:rsid w:val="008C387E"/>
    <w:rsid w:val="008D04A2"/>
    <w:rsid w:val="008E0D49"/>
    <w:rsid w:val="008E1F5A"/>
    <w:rsid w:val="008E324D"/>
    <w:rsid w:val="008F10ED"/>
    <w:rsid w:val="008F2D8E"/>
    <w:rsid w:val="00904EBD"/>
    <w:rsid w:val="00905D27"/>
    <w:rsid w:val="00906EC2"/>
    <w:rsid w:val="00931EA1"/>
    <w:rsid w:val="00936F4F"/>
    <w:rsid w:val="00940EBE"/>
    <w:rsid w:val="009432CC"/>
    <w:rsid w:val="00946B5B"/>
    <w:rsid w:val="00952159"/>
    <w:rsid w:val="009631A4"/>
    <w:rsid w:val="00967D8F"/>
    <w:rsid w:val="0097113A"/>
    <w:rsid w:val="00984A81"/>
    <w:rsid w:val="00986D49"/>
    <w:rsid w:val="00986FF2"/>
    <w:rsid w:val="009969CC"/>
    <w:rsid w:val="00997104"/>
    <w:rsid w:val="009A2A73"/>
    <w:rsid w:val="009A54C1"/>
    <w:rsid w:val="009B40EF"/>
    <w:rsid w:val="009B6D24"/>
    <w:rsid w:val="009B7E72"/>
    <w:rsid w:val="009B7F4E"/>
    <w:rsid w:val="009B7FD9"/>
    <w:rsid w:val="009C129F"/>
    <w:rsid w:val="009C45DC"/>
    <w:rsid w:val="009C7E62"/>
    <w:rsid w:val="009D0B9E"/>
    <w:rsid w:val="009D17B3"/>
    <w:rsid w:val="009F7111"/>
    <w:rsid w:val="00A14000"/>
    <w:rsid w:val="00A1433C"/>
    <w:rsid w:val="00A22D0A"/>
    <w:rsid w:val="00A27EDD"/>
    <w:rsid w:val="00A31A4D"/>
    <w:rsid w:val="00A325F2"/>
    <w:rsid w:val="00A44238"/>
    <w:rsid w:val="00A46D6B"/>
    <w:rsid w:val="00A54B45"/>
    <w:rsid w:val="00A5566B"/>
    <w:rsid w:val="00A607E4"/>
    <w:rsid w:val="00A64873"/>
    <w:rsid w:val="00A66D7E"/>
    <w:rsid w:val="00A7197C"/>
    <w:rsid w:val="00A75C4A"/>
    <w:rsid w:val="00A76B20"/>
    <w:rsid w:val="00A80E92"/>
    <w:rsid w:val="00A84F08"/>
    <w:rsid w:val="00A97486"/>
    <w:rsid w:val="00AA03A5"/>
    <w:rsid w:val="00AA2592"/>
    <w:rsid w:val="00AA4396"/>
    <w:rsid w:val="00AC0673"/>
    <w:rsid w:val="00AC748A"/>
    <w:rsid w:val="00AD29BE"/>
    <w:rsid w:val="00AD3C54"/>
    <w:rsid w:val="00AD73F2"/>
    <w:rsid w:val="00AE0AA7"/>
    <w:rsid w:val="00AE2F80"/>
    <w:rsid w:val="00AE71A6"/>
    <w:rsid w:val="00AF14D3"/>
    <w:rsid w:val="00AF189F"/>
    <w:rsid w:val="00AF237F"/>
    <w:rsid w:val="00AF23D1"/>
    <w:rsid w:val="00AF27CA"/>
    <w:rsid w:val="00AF5594"/>
    <w:rsid w:val="00B01575"/>
    <w:rsid w:val="00B03BF6"/>
    <w:rsid w:val="00B058F9"/>
    <w:rsid w:val="00B10CA1"/>
    <w:rsid w:val="00B12F6A"/>
    <w:rsid w:val="00B13289"/>
    <w:rsid w:val="00B2565D"/>
    <w:rsid w:val="00B26CEC"/>
    <w:rsid w:val="00B27313"/>
    <w:rsid w:val="00B27B00"/>
    <w:rsid w:val="00B308A6"/>
    <w:rsid w:val="00B36463"/>
    <w:rsid w:val="00B36DA3"/>
    <w:rsid w:val="00B40295"/>
    <w:rsid w:val="00B41444"/>
    <w:rsid w:val="00B42568"/>
    <w:rsid w:val="00B44AB1"/>
    <w:rsid w:val="00B4541D"/>
    <w:rsid w:val="00B46756"/>
    <w:rsid w:val="00B50B46"/>
    <w:rsid w:val="00B51BF3"/>
    <w:rsid w:val="00B530A1"/>
    <w:rsid w:val="00B56066"/>
    <w:rsid w:val="00B72BDF"/>
    <w:rsid w:val="00B73BFA"/>
    <w:rsid w:val="00B7697B"/>
    <w:rsid w:val="00B85E08"/>
    <w:rsid w:val="00B9570B"/>
    <w:rsid w:val="00B976C8"/>
    <w:rsid w:val="00B97999"/>
    <w:rsid w:val="00BA0C31"/>
    <w:rsid w:val="00BA2672"/>
    <w:rsid w:val="00BA7D90"/>
    <w:rsid w:val="00BB3137"/>
    <w:rsid w:val="00BD2623"/>
    <w:rsid w:val="00BD3AE2"/>
    <w:rsid w:val="00BE3CEE"/>
    <w:rsid w:val="00BE6306"/>
    <w:rsid w:val="00BF4989"/>
    <w:rsid w:val="00C0199C"/>
    <w:rsid w:val="00C11179"/>
    <w:rsid w:val="00C1299A"/>
    <w:rsid w:val="00C21AFA"/>
    <w:rsid w:val="00C23341"/>
    <w:rsid w:val="00C24A86"/>
    <w:rsid w:val="00C30526"/>
    <w:rsid w:val="00C37542"/>
    <w:rsid w:val="00C37D0E"/>
    <w:rsid w:val="00C37EB3"/>
    <w:rsid w:val="00C46AD4"/>
    <w:rsid w:val="00C52FC7"/>
    <w:rsid w:val="00C56F12"/>
    <w:rsid w:val="00C61F0F"/>
    <w:rsid w:val="00C646DC"/>
    <w:rsid w:val="00C6715B"/>
    <w:rsid w:val="00C671E7"/>
    <w:rsid w:val="00C74141"/>
    <w:rsid w:val="00C746F2"/>
    <w:rsid w:val="00C75359"/>
    <w:rsid w:val="00C7687A"/>
    <w:rsid w:val="00C81048"/>
    <w:rsid w:val="00C8262B"/>
    <w:rsid w:val="00C86C33"/>
    <w:rsid w:val="00C87A56"/>
    <w:rsid w:val="00C971AD"/>
    <w:rsid w:val="00C977E8"/>
    <w:rsid w:val="00CA6DA0"/>
    <w:rsid w:val="00CB4E74"/>
    <w:rsid w:val="00CB625D"/>
    <w:rsid w:val="00CC6300"/>
    <w:rsid w:val="00CD02ED"/>
    <w:rsid w:val="00CD0D62"/>
    <w:rsid w:val="00CD40CF"/>
    <w:rsid w:val="00CD7378"/>
    <w:rsid w:val="00CD7F16"/>
    <w:rsid w:val="00CE2207"/>
    <w:rsid w:val="00CE28D1"/>
    <w:rsid w:val="00CE35C3"/>
    <w:rsid w:val="00CE3DD0"/>
    <w:rsid w:val="00CF17D3"/>
    <w:rsid w:val="00CF78C0"/>
    <w:rsid w:val="00D02B22"/>
    <w:rsid w:val="00D11461"/>
    <w:rsid w:val="00D12430"/>
    <w:rsid w:val="00D12915"/>
    <w:rsid w:val="00D132A4"/>
    <w:rsid w:val="00D252C1"/>
    <w:rsid w:val="00D304C1"/>
    <w:rsid w:val="00D33C66"/>
    <w:rsid w:val="00D4743C"/>
    <w:rsid w:val="00D47610"/>
    <w:rsid w:val="00D5565D"/>
    <w:rsid w:val="00D55967"/>
    <w:rsid w:val="00D62374"/>
    <w:rsid w:val="00D62BA9"/>
    <w:rsid w:val="00D62C77"/>
    <w:rsid w:val="00D651DF"/>
    <w:rsid w:val="00D65ED1"/>
    <w:rsid w:val="00D67EF2"/>
    <w:rsid w:val="00D706E7"/>
    <w:rsid w:val="00D722A9"/>
    <w:rsid w:val="00D74990"/>
    <w:rsid w:val="00D75FA6"/>
    <w:rsid w:val="00D807B6"/>
    <w:rsid w:val="00D82A75"/>
    <w:rsid w:val="00D82EC4"/>
    <w:rsid w:val="00D86C58"/>
    <w:rsid w:val="00D86E42"/>
    <w:rsid w:val="00D8765B"/>
    <w:rsid w:val="00D92387"/>
    <w:rsid w:val="00D92821"/>
    <w:rsid w:val="00D944C6"/>
    <w:rsid w:val="00DA7766"/>
    <w:rsid w:val="00DA7E31"/>
    <w:rsid w:val="00DB1314"/>
    <w:rsid w:val="00DB1F7A"/>
    <w:rsid w:val="00DB3209"/>
    <w:rsid w:val="00DC1908"/>
    <w:rsid w:val="00DC6BCE"/>
    <w:rsid w:val="00DC7329"/>
    <w:rsid w:val="00DD6AE0"/>
    <w:rsid w:val="00DE1CE4"/>
    <w:rsid w:val="00DE3A10"/>
    <w:rsid w:val="00DE4565"/>
    <w:rsid w:val="00DE5956"/>
    <w:rsid w:val="00DF39E8"/>
    <w:rsid w:val="00DF7034"/>
    <w:rsid w:val="00E02263"/>
    <w:rsid w:val="00E0521D"/>
    <w:rsid w:val="00E11150"/>
    <w:rsid w:val="00E12FFD"/>
    <w:rsid w:val="00E20B4C"/>
    <w:rsid w:val="00E22134"/>
    <w:rsid w:val="00E23D5E"/>
    <w:rsid w:val="00E261FB"/>
    <w:rsid w:val="00E27B4A"/>
    <w:rsid w:val="00E30D7F"/>
    <w:rsid w:val="00E336B1"/>
    <w:rsid w:val="00E3672D"/>
    <w:rsid w:val="00E432A0"/>
    <w:rsid w:val="00E5244D"/>
    <w:rsid w:val="00E5254D"/>
    <w:rsid w:val="00E5561C"/>
    <w:rsid w:val="00E60940"/>
    <w:rsid w:val="00E638B0"/>
    <w:rsid w:val="00E70A66"/>
    <w:rsid w:val="00E71C11"/>
    <w:rsid w:val="00E766AE"/>
    <w:rsid w:val="00E8437A"/>
    <w:rsid w:val="00E85B8E"/>
    <w:rsid w:val="00E861B2"/>
    <w:rsid w:val="00E90912"/>
    <w:rsid w:val="00E90B1B"/>
    <w:rsid w:val="00E91636"/>
    <w:rsid w:val="00E92D12"/>
    <w:rsid w:val="00E95CA8"/>
    <w:rsid w:val="00E97514"/>
    <w:rsid w:val="00E97C61"/>
    <w:rsid w:val="00EA1667"/>
    <w:rsid w:val="00EA5B31"/>
    <w:rsid w:val="00EB2552"/>
    <w:rsid w:val="00EB25A4"/>
    <w:rsid w:val="00EB4B52"/>
    <w:rsid w:val="00EB7010"/>
    <w:rsid w:val="00EC7769"/>
    <w:rsid w:val="00ED1300"/>
    <w:rsid w:val="00ED454A"/>
    <w:rsid w:val="00ED69EC"/>
    <w:rsid w:val="00EE6B23"/>
    <w:rsid w:val="00EF394A"/>
    <w:rsid w:val="00EF5D66"/>
    <w:rsid w:val="00F02853"/>
    <w:rsid w:val="00F13242"/>
    <w:rsid w:val="00F13E7D"/>
    <w:rsid w:val="00F14D6C"/>
    <w:rsid w:val="00F20751"/>
    <w:rsid w:val="00F23246"/>
    <w:rsid w:val="00F26045"/>
    <w:rsid w:val="00F3623B"/>
    <w:rsid w:val="00F44998"/>
    <w:rsid w:val="00F46BDA"/>
    <w:rsid w:val="00F52370"/>
    <w:rsid w:val="00F60208"/>
    <w:rsid w:val="00F607B8"/>
    <w:rsid w:val="00F71E4A"/>
    <w:rsid w:val="00F776AB"/>
    <w:rsid w:val="00F84C80"/>
    <w:rsid w:val="00F93229"/>
    <w:rsid w:val="00F94D87"/>
    <w:rsid w:val="00FA0AF5"/>
    <w:rsid w:val="00FA11B9"/>
    <w:rsid w:val="00FA3E69"/>
    <w:rsid w:val="00FA5EBC"/>
    <w:rsid w:val="00FB0BF6"/>
    <w:rsid w:val="00FB1FDE"/>
    <w:rsid w:val="00FB2CE2"/>
    <w:rsid w:val="00FB6650"/>
    <w:rsid w:val="00FC1C1A"/>
    <w:rsid w:val="00FC6067"/>
    <w:rsid w:val="00FD5919"/>
    <w:rsid w:val="00FD642E"/>
    <w:rsid w:val="00FD6B28"/>
    <w:rsid w:val="00FE383B"/>
    <w:rsid w:val="00FE572B"/>
    <w:rsid w:val="00FF06C5"/>
    <w:rsid w:val="00FF22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52324"/>
  <w15:chartTrackingRefBased/>
  <w15:docId w15:val="{36FEC35A-9B11-492E-90FD-83A445621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7B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27B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7B4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7B4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27B4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27B4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27B4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27B4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27B4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B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27B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7B4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7B4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27B4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27B4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27B4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27B4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27B4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27B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7B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7B4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7B4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27B4A"/>
    <w:pPr>
      <w:spacing w:before="160"/>
      <w:jc w:val="center"/>
    </w:pPr>
    <w:rPr>
      <w:i/>
      <w:iCs/>
      <w:color w:val="404040" w:themeColor="text1" w:themeTint="BF"/>
    </w:rPr>
  </w:style>
  <w:style w:type="character" w:customStyle="1" w:styleId="QuoteChar">
    <w:name w:val="Quote Char"/>
    <w:basedOn w:val="DefaultParagraphFont"/>
    <w:link w:val="Quote"/>
    <w:uiPriority w:val="29"/>
    <w:rsid w:val="00E27B4A"/>
    <w:rPr>
      <w:i/>
      <w:iCs/>
      <w:color w:val="404040" w:themeColor="text1" w:themeTint="BF"/>
    </w:rPr>
  </w:style>
  <w:style w:type="paragraph" w:styleId="ListParagraph">
    <w:name w:val="List Paragraph"/>
    <w:aliases w:val="Bullet point,Recommendation,List Paragraph1,List Paragraph11,L,CV text,Table text,F5 List Paragraph,Dot pt,Colorful List - Accent 11,No Spacing1,List Paragraph Char Char Char,Indicator Text,Numbered Para 1,Bullet 1,Bullet Points,1 heading"/>
    <w:basedOn w:val="Normal"/>
    <w:link w:val="ListParagraphChar"/>
    <w:uiPriority w:val="34"/>
    <w:qFormat/>
    <w:rsid w:val="00E27B4A"/>
    <w:pPr>
      <w:ind w:left="720"/>
      <w:contextualSpacing/>
    </w:pPr>
  </w:style>
  <w:style w:type="character" w:styleId="IntenseEmphasis">
    <w:name w:val="Intense Emphasis"/>
    <w:basedOn w:val="DefaultParagraphFont"/>
    <w:uiPriority w:val="21"/>
    <w:qFormat/>
    <w:rsid w:val="00E27B4A"/>
    <w:rPr>
      <w:i/>
      <w:iCs/>
      <w:color w:val="0F4761" w:themeColor="accent1" w:themeShade="BF"/>
    </w:rPr>
  </w:style>
  <w:style w:type="paragraph" w:styleId="IntenseQuote">
    <w:name w:val="Intense Quote"/>
    <w:basedOn w:val="Normal"/>
    <w:next w:val="Normal"/>
    <w:link w:val="IntenseQuoteChar"/>
    <w:uiPriority w:val="30"/>
    <w:qFormat/>
    <w:rsid w:val="00E27B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7B4A"/>
    <w:rPr>
      <w:i/>
      <w:iCs/>
      <w:color w:val="0F4761" w:themeColor="accent1" w:themeShade="BF"/>
    </w:rPr>
  </w:style>
  <w:style w:type="character" w:styleId="IntenseReference">
    <w:name w:val="Intense Reference"/>
    <w:basedOn w:val="DefaultParagraphFont"/>
    <w:uiPriority w:val="32"/>
    <w:qFormat/>
    <w:rsid w:val="00E27B4A"/>
    <w:rPr>
      <w:b/>
      <w:bCs/>
      <w:smallCaps/>
      <w:color w:val="0F4761" w:themeColor="accent1" w:themeShade="BF"/>
      <w:spacing w:val="5"/>
    </w:rPr>
  </w:style>
  <w:style w:type="table" w:styleId="TableGrid">
    <w:name w:val="Table Grid"/>
    <w:basedOn w:val="TableNormal"/>
    <w:uiPriority w:val="39"/>
    <w:rsid w:val="00D65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left">
    <w:name w:val="Table text left"/>
    <w:autoRedefine/>
    <w:qFormat/>
    <w:locked/>
    <w:rsid w:val="00604601"/>
    <w:pPr>
      <w:spacing w:beforeLines="60" w:before="144" w:afterLines="60" w:after="144" w:line="240" w:lineRule="auto"/>
    </w:pPr>
    <w:rPr>
      <w:rFonts w:ascii="Arial" w:hAnsi="Arial" w:cs="Arial"/>
      <w:color w:val="000000" w:themeColor="text1"/>
      <w:kern w:val="0"/>
      <w14:ligatures w14:val="none"/>
    </w:rPr>
  </w:style>
  <w:style w:type="paragraph" w:styleId="Header">
    <w:name w:val="header"/>
    <w:basedOn w:val="Normal"/>
    <w:link w:val="HeaderChar"/>
    <w:uiPriority w:val="99"/>
    <w:unhideWhenUsed/>
    <w:rsid w:val="00743D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3D75"/>
  </w:style>
  <w:style w:type="character" w:styleId="CommentReference">
    <w:name w:val="annotation reference"/>
    <w:basedOn w:val="DefaultParagraphFont"/>
    <w:semiHidden/>
    <w:unhideWhenUsed/>
    <w:rsid w:val="00743D75"/>
    <w:rPr>
      <w:sz w:val="16"/>
      <w:szCs w:val="16"/>
    </w:rPr>
  </w:style>
  <w:style w:type="paragraph" w:styleId="CommentText">
    <w:name w:val="annotation text"/>
    <w:basedOn w:val="Normal"/>
    <w:link w:val="CommentTextChar"/>
    <w:unhideWhenUsed/>
    <w:rsid w:val="00743D75"/>
    <w:pPr>
      <w:spacing w:before="120" w:after="120" w:line="240" w:lineRule="auto"/>
    </w:pPr>
    <w:rPr>
      <w:rFonts w:ascii="Arial" w:eastAsia="Times New Roman" w:hAnsi="Arial"/>
      <w:color w:val="000000" w:themeColor="text1"/>
      <w:kern w:val="0"/>
      <w:sz w:val="20"/>
      <w:szCs w:val="20"/>
      <w14:ligatures w14:val="none"/>
    </w:rPr>
  </w:style>
  <w:style w:type="character" w:customStyle="1" w:styleId="CommentTextChar">
    <w:name w:val="Comment Text Char"/>
    <w:basedOn w:val="DefaultParagraphFont"/>
    <w:link w:val="CommentText"/>
    <w:rsid w:val="00743D75"/>
    <w:rPr>
      <w:rFonts w:ascii="Arial" w:eastAsia="Times New Roman" w:hAnsi="Arial"/>
      <w:color w:val="000000" w:themeColor="text1"/>
      <w:kern w:val="0"/>
      <w:sz w:val="20"/>
      <w:szCs w:val="20"/>
      <w14:ligatures w14:val="none"/>
    </w:rPr>
  </w:style>
  <w:style w:type="character" w:styleId="Hyperlink">
    <w:name w:val="Hyperlink"/>
    <w:basedOn w:val="DefaultParagraphFont"/>
    <w:uiPriority w:val="99"/>
    <w:unhideWhenUsed/>
    <w:qFormat/>
    <w:rsid w:val="00F776AB"/>
    <w:rPr>
      <w:color w:val="467886" w:themeColor="hyperlink"/>
      <w:u w:val="single"/>
    </w:rPr>
  </w:style>
  <w:style w:type="character" w:styleId="UnresolvedMention">
    <w:name w:val="Unresolved Mention"/>
    <w:basedOn w:val="DefaultParagraphFont"/>
    <w:uiPriority w:val="99"/>
    <w:semiHidden/>
    <w:unhideWhenUsed/>
    <w:rsid w:val="00F776AB"/>
    <w:rPr>
      <w:color w:val="605E5C"/>
      <w:shd w:val="clear" w:color="auto" w:fill="E1DFDD"/>
    </w:rPr>
  </w:style>
  <w:style w:type="paragraph" w:styleId="Footer">
    <w:name w:val="footer"/>
    <w:basedOn w:val="Normal"/>
    <w:link w:val="FooterChar"/>
    <w:uiPriority w:val="99"/>
    <w:unhideWhenUsed/>
    <w:rsid w:val="00986D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D49"/>
  </w:style>
  <w:style w:type="character" w:customStyle="1" w:styleId="ListParagraphChar">
    <w:name w:val="List Paragraph Char"/>
    <w:aliases w:val="Bullet point Char,Recommendation Char,List Paragraph1 Char,List Paragraph11 Char,L Char,CV text Char,Table text Char,F5 List Paragraph Char,Dot pt Char,Colorful List - Accent 11 Char,No Spacing1 Char,Indicator Text Char,Bullet 1 Char"/>
    <w:link w:val="ListParagraph"/>
    <w:uiPriority w:val="34"/>
    <w:qFormat/>
    <w:locked/>
    <w:rsid w:val="002F4E80"/>
  </w:style>
  <w:style w:type="paragraph" w:customStyle="1" w:styleId="TableHeader">
    <w:name w:val="Table Header"/>
    <w:basedOn w:val="Normal"/>
    <w:next w:val="Tabletextleft"/>
    <w:qFormat/>
    <w:rsid w:val="004B6E84"/>
    <w:pPr>
      <w:spacing w:before="80" w:after="80" w:line="276" w:lineRule="auto"/>
    </w:pPr>
    <w:rPr>
      <w:rFonts w:ascii="Arial" w:eastAsia="Cambria" w:hAnsi="Arial"/>
      <w:b/>
      <w:color w:val="FFFFFF" w:themeColor="background1"/>
      <w:kern w:val="0"/>
      <w:sz w:val="22"/>
      <w:szCs w:val="22"/>
      <w:lang w:val="en-US"/>
      <w14:ligatures w14:val="none"/>
    </w:rPr>
  </w:style>
  <w:style w:type="table" w:customStyle="1" w:styleId="DepartmentofHealthtable">
    <w:name w:val="Department of Health table"/>
    <w:basedOn w:val="TableNormal"/>
    <w:uiPriority w:val="99"/>
    <w:rsid w:val="004B6E84"/>
    <w:pPr>
      <w:spacing w:after="0" w:line="240" w:lineRule="auto"/>
    </w:pPr>
    <w:rPr>
      <w:rFonts w:ascii="Arial" w:eastAsia="Times New Roman" w:hAnsi="Arial"/>
      <w:color w:val="000000" w:themeColor="text1"/>
      <w:kern w:val="0"/>
      <w:sz w:val="21"/>
      <w:szCs w:val="20"/>
      <w14:ligatures w14:val="none"/>
    </w:rPr>
    <w:tblPr>
      <w:tblStyleRowBandSize w:val="1"/>
      <w:tblInd w:w="0" w:type="nil"/>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s="Arial" w:hint="default"/>
        <w:color w:val="F2F2F2" w:themeColor="background1" w:themeShade="F2"/>
        <w:sz w:val="22"/>
        <w:szCs w:val="22"/>
      </w:rPr>
      <w:tblPr/>
      <w:tcPr>
        <w:shd w:val="clear" w:color="auto" w:fill="3F4A75"/>
      </w:tcPr>
    </w:tblStylePr>
    <w:tblStylePr w:type="lastRow">
      <w:rPr>
        <w:rFonts w:ascii="Arial" w:hAnsi="Arial" w:cs="Arial" w:hint="default"/>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styleId="Strong">
    <w:name w:val="Strong"/>
    <w:basedOn w:val="DefaultParagraphFont"/>
    <w:uiPriority w:val="22"/>
    <w:qFormat/>
    <w:rsid w:val="006B1809"/>
    <w:rPr>
      <w:b/>
      <w:bCs/>
    </w:rPr>
  </w:style>
  <w:style w:type="paragraph" w:customStyle="1" w:styleId="TableHeaderWhite">
    <w:name w:val="Table Header White"/>
    <w:basedOn w:val="Normal"/>
    <w:next w:val="Tabletextleft"/>
    <w:qFormat/>
    <w:rsid w:val="00022D2B"/>
    <w:pPr>
      <w:spacing w:before="80" w:after="80" w:line="276" w:lineRule="auto"/>
    </w:pPr>
    <w:rPr>
      <w:rFonts w:ascii="Arial" w:eastAsia="Cambria" w:hAnsi="Arial"/>
      <w:b/>
      <w:color w:val="FFFFFF" w:themeColor="background1"/>
      <w:kern w:val="0"/>
      <w:sz w:val="22"/>
      <w:szCs w:val="22"/>
      <w:lang w:val="en-US"/>
      <w14:ligatures w14:val="none"/>
    </w:rPr>
  </w:style>
  <w:style w:type="paragraph" w:styleId="FootnoteText">
    <w:name w:val="footnote text"/>
    <w:link w:val="FootnoteTextChar"/>
    <w:uiPriority w:val="99"/>
    <w:rsid w:val="00022D2B"/>
    <w:pPr>
      <w:spacing w:after="0" w:line="240" w:lineRule="auto"/>
    </w:pPr>
    <w:rPr>
      <w:rFonts w:ascii="Arial" w:eastAsia="Times New Roman" w:hAnsi="Arial"/>
      <w:kern w:val="0"/>
      <w:sz w:val="20"/>
      <w:szCs w:val="20"/>
      <w14:ligatures w14:val="none"/>
    </w:rPr>
  </w:style>
  <w:style w:type="character" w:customStyle="1" w:styleId="FootnoteTextChar">
    <w:name w:val="Footnote Text Char"/>
    <w:basedOn w:val="DefaultParagraphFont"/>
    <w:link w:val="FootnoteText"/>
    <w:uiPriority w:val="99"/>
    <w:rsid w:val="00022D2B"/>
    <w:rPr>
      <w:rFonts w:ascii="Arial" w:eastAsia="Times New Roman" w:hAnsi="Arial"/>
      <w:kern w:val="0"/>
      <w:sz w:val="20"/>
      <w:szCs w:val="20"/>
      <w14:ligatures w14:val="none"/>
    </w:rPr>
  </w:style>
  <w:style w:type="paragraph" w:styleId="Caption">
    <w:name w:val="caption"/>
    <w:basedOn w:val="Normal"/>
    <w:next w:val="Normal"/>
    <w:unhideWhenUsed/>
    <w:rsid w:val="00022D2B"/>
    <w:pPr>
      <w:spacing w:before="120" w:after="200" w:line="276" w:lineRule="auto"/>
    </w:pPr>
    <w:rPr>
      <w:rFonts w:ascii="Arial" w:eastAsia="Times New Roman" w:hAnsi="Arial"/>
      <w:b/>
      <w:bCs/>
      <w:color w:val="156082" w:themeColor="accent1"/>
      <w:kern w:val="0"/>
      <w:sz w:val="18"/>
      <w:szCs w:val="18"/>
      <w14:ligatures w14:val="none"/>
    </w:rPr>
  </w:style>
  <w:style w:type="character" w:styleId="FootnoteReference">
    <w:name w:val="footnote reference"/>
    <w:basedOn w:val="DefaultParagraphFont"/>
    <w:uiPriority w:val="99"/>
    <w:semiHidden/>
    <w:unhideWhenUsed/>
    <w:rsid w:val="00022D2B"/>
    <w:rPr>
      <w:vertAlign w:val="superscript"/>
    </w:rPr>
  </w:style>
  <w:style w:type="paragraph" w:styleId="Revision">
    <w:name w:val="Revision"/>
    <w:hidden/>
    <w:uiPriority w:val="99"/>
    <w:semiHidden/>
    <w:rsid w:val="0032793C"/>
    <w:pPr>
      <w:spacing w:after="0" w:line="240" w:lineRule="auto"/>
    </w:pPr>
  </w:style>
  <w:style w:type="paragraph" w:styleId="TOCHeading">
    <w:name w:val="TOC Heading"/>
    <w:basedOn w:val="Heading1"/>
    <w:next w:val="Normal"/>
    <w:uiPriority w:val="39"/>
    <w:unhideWhenUsed/>
    <w:qFormat/>
    <w:rsid w:val="000A3E2A"/>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0A3E2A"/>
    <w:pPr>
      <w:spacing w:after="100"/>
    </w:pPr>
  </w:style>
  <w:style w:type="paragraph" w:styleId="TOC2">
    <w:name w:val="toc 2"/>
    <w:basedOn w:val="Normal"/>
    <w:next w:val="Normal"/>
    <w:autoRedefine/>
    <w:uiPriority w:val="39"/>
    <w:unhideWhenUsed/>
    <w:rsid w:val="000A3E2A"/>
    <w:pPr>
      <w:spacing w:after="100"/>
      <w:ind w:left="240"/>
    </w:pPr>
  </w:style>
  <w:style w:type="paragraph" w:styleId="CommentSubject">
    <w:name w:val="annotation subject"/>
    <w:basedOn w:val="CommentText"/>
    <w:next w:val="CommentText"/>
    <w:link w:val="CommentSubjectChar"/>
    <w:uiPriority w:val="99"/>
    <w:semiHidden/>
    <w:unhideWhenUsed/>
    <w:rsid w:val="008F2D8E"/>
    <w:pPr>
      <w:spacing w:before="0" w:after="160"/>
    </w:pPr>
    <w:rPr>
      <w:rFonts w:ascii="Times New Roman" w:eastAsiaTheme="minorHAnsi" w:hAnsi="Times New Roman"/>
      <w:b/>
      <w:bCs/>
      <w:color w:val="auto"/>
      <w:kern w:val="2"/>
      <w14:ligatures w14:val="standardContextual"/>
    </w:rPr>
  </w:style>
  <w:style w:type="character" w:customStyle="1" w:styleId="CommentSubjectChar">
    <w:name w:val="Comment Subject Char"/>
    <w:basedOn w:val="CommentTextChar"/>
    <w:link w:val="CommentSubject"/>
    <w:uiPriority w:val="99"/>
    <w:semiHidden/>
    <w:rsid w:val="008F2D8E"/>
    <w:rPr>
      <w:rFonts w:ascii="Arial" w:eastAsia="Times New Roman" w:hAnsi="Arial"/>
      <w:b/>
      <w:bCs/>
      <w:color w:val="000000" w:themeColor="text1"/>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83789">
      <w:bodyDiv w:val="1"/>
      <w:marLeft w:val="0"/>
      <w:marRight w:val="0"/>
      <w:marTop w:val="0"/>
      <w:marBottom w:val="0"/>
      <w:divBdr>
        <w:top w:val="none" w:sz="0" w:space="0" w:color="auto"/>
        <w:left w:val="none" w:sz="0" w:space="0" w:color="auto"/>
        <w:bottom w:val="none" w:sz="0" w:space="0" w:color="auto"/>
        <w:right w:val="none" w:sz="0" w:space="0" w:color="auto"/>
      </w:divBdr>
    </w:div>
    <w:div w:id="91825714">
      <w:bodyDiv w:val="1"/>
      <w:marLeft w:val="0"/>
      <w:marRight w:val="0"/>
      <w:marTop w:val="0"/>
      <w:marBottom w:val="0"/>
      <w:divBdr>
        <w:top w:val="none" w:sz="0" w:space="0" w:color="auto"/>
        <w:left w:val="none" w:sz="0" w:space="0" w:color="auto"/>
        <w:bottom w:val="none" w:sz="0" w:space="0" w:color="auto"/>
        <w:right w:val="none" w:sz="0" w:space="0" w:color="auto"/>
      </w:divBdr>
    </w:div>
    <w:div w:id="141430547">
      <w:bodyDiv w:val="1"/>
      <w:marLeft w:val="0"/>
      <w:marRight w:val="0"/>
      <w:marTop w:val="0"/>
      <w:marBottom w:val="0"/>
      <w:divBdr>
        <w:top w:val="none" w:sz="0" w:space="0" w:color="auto"/>
        <w:left w:val="none" w:sz="0" w:space="0" w:color="auto"/>
        <w:bottom w:val="none" w:sz="0" w:space="0" w:color="auto"/>
        <w:right w:val="none" w:sz="0" w:space="0" w:color="auto"/>
      </w:divBdr>
    </w:div>
    <w:div w:id="284897347">
      <w:bodyDiv w:val="1"/>
      <w:marLeft w:val="0"/>
      <w:marRight w:val="0"/>
      <w:marTop w:val="0"/>
      <w:marBottom w:val="0"/>
      <w:divBdr>
        <w:top w:val="none" w:sz="0" w:space="0" w:color="auto"/>
        <w:left w:val="none" w:sz="0" w:space="0" w:color="auto"/>
        <w:bottom w:val="none" w:sz="0" w:space="0" w:color="auto"/>
        <w:right w:val="none" w:sz="0" w:space="0" w:color="auto"/>
      </w:divBdr>
    </w:div>
    <w:div w:id="291832921">
      <w:bodyDiv w:val="1"/>
      <w:marLeft w:val="0"/>
      <w:marRight w:val="0"/>
      <w:marTop w:val="0"/>
      <w:marBottom w:val="0"/>
      <w:divBdr>
        <w:top w:val="none" w:sz="0" w:space="0" w:color="auto"/>
        <w:left w:val="none" w:sz="0" w:space="0" w:color="auto"/>
        <w:bottom w:val="none" w:sz="0" w:space="0" w:color="auto"/>
        <w:right w:val="none" w:sz="0" w:space="0" w:color="auto"/>
      </w:divBdr>
    </w:div>
    <w:div w:id="312608141">
      <w:bodyDiv w:val="1"/>
      <w:marLeft w:val="0"/>
      <w:marRight w:val="0"/>
      <w:marTop w:val="0"/>
      <w:marBottom w:val="0"/>
      <w:divBdr>
        <w:top w:val="none" w:sz="0" w:space="0" w:color="auto"/>
        <w:left w:val="none" w:sz="0" w:space="0" w:color="auto"/>
        <w:bottom w:val="none" w:sz="0" w:space="0" w:color="auto"/>
        <w:right w:val="none" w:sz="0" w:space="0" w:color="auto"/>
      </w:divBdr>
    </w:div>
    <w:div w:id="519127048">
      <w:bodyDiv w:val="1"/>
      <w:marLeft w:val="0"/>
      <w:marRight w:val="0"/>
      <w:marTop w:val="0"/>
      <w:marBottom w:val="0"/>
      <w:divBdr>
        <w:top w:val="none" w:sz="0" w:space="0" w:color="auto"/>
        <w:left w:val="none" w:sz="0" w:space="0" w:color="auto"/>
        <w:bottom w:val="none" w:sz="0" w:space="0" w:color="auto"/>
        <w:right w:val="none" w:sz="0" w:space="0" w:color="auto"/>
      </w:divBdr>
    </w:div>
    <w:div w:id="539899060">
      <w:bodyDiv w:val="1"/>
      <w:marLeft w:val="0"/>
      <w:marRight w:val="0"/>
      <w:marTop w:val="0"/>
      <w:marBottom w:val="0"/>
      <w:divBdr>
        <w:top w:val="none" w:sz="0" w:space="0" w:color="auto"/>
        <w:left w:val="none" w:sz="0" w:space="0" w:color="auto"/>
        <w:bottom w:val="none" w:sz="0" w:space="0" w:color="auto"/>
        <w:right w:val="none" w:sz="0" w:space="0" w:color="auto"/>
      </w:divBdr>
    </w:div>
    <w:div w:id="653221879">
      <w:bodyDiv w:val="1"/>
      <w:marLeft w:val="0"/>
      <w:marRight w:val="0"/>
      <w:marTop w:val="0"/>
      <w:marBottom w:val="0"/>
      <w:divBdr>
        <w:top w:val="none" w:sz="0" w:space="0" w:color="auto"/>
        <w:left w:val="none" w:sz="0" w:space="0" w:color="auto"/>
        <w:bottom w:val="none" w:sz="0" w:space="0" w:color="auto"/>
        <w:right w:val="none" w:sz="0" w:space="0" w:color="auto"/>
      </w:divBdr>
    </w:div>
    <w:div w:id="1000547411">
      <w:bodyDiv w:val="1"/>
      <w:marLeft w:val="0"/>
      <w:marRight w:val="0"/>
      <w:marTop w:val="0"/>
      <w:marBottom w:val="0"/>
      <w:divBdr>
        <w:top w:val="none" w:sz="0" w:space="0" w:color="auto"/>
        <w:left w:val="none" w:sz="0" w:space="0" w:color="auto"/>
        <w:bottom w:val="none" w:sz="0" w:space="0" w:color="auto"/>
        <w:right w:val="none" w:sz="0" w:space="0" w:color="auto"/>
      </w:divBdr>
    </w:div>
    <w:div w:id="1106274307">
      <w:bodyDiv w:val="1"/>
      <w:marLeft w:val="0"/>
      <w:marRight w:val="0"/>
      <w:marTop w:val="0"/>
      <w:marBottom w:val="0"/>
      <w:divBdr>
        <w:top w:val="none" w:sz="0" w:space="0" w:color="auto"/>
        <w:left w:val="none" w:sz="0" w:space="0" w:color="auto"/>
        <w:bottom w:val="none" w:sz="0" w:space="0" w:color="auto"/>
        <w:right w:val="none" w:sz="0" w:space="0" w:color="auto"/>
      </w:divBdr>
    </w:div>
    <w:div w:id="1204290751">
      <w:bodyDiv w:val="1"/>
      <w:marLeft w:val="0"/>
      <w:marRight w:val="0"/>
      <w:marTop w:val="0"/>
      <w:marBottom w:val="0"/>
      <w:divBdr>
        <w:top w:val="none" w:sz="0" w:space="0" w:color="auto"/>
        <w:left w:val="none" w:sz="0" w:space="0" w:color="auto"/>
        <w:bottom w:val="none" w:sz="0" w:space="0" w:color="auto"/>
        <w:right w:val="none" w:sz="0" w:space="0" w:color="auto"/>
      </w:divBdr>
    </w:div>
    <w:div w:id="1411150658">
      <w:bodyDiv w:val="1"/>
      <w:marLeft w:val="0"/>
      <w:marRight w:val="0"/>
      <w:marTop w:val="0"/>
      <w:marBottom w:val="0"/>
      <w:divBdr>
        <w:top w:val="none" w:sz="0" w:space="0" w:color="auto"/>
        <w:left w:val="none" w:sz="0" w:space="0" w:color="auto"/>
        <w:bottom w:val="none" w:sz="0" w:space="0" w:color="auto"/>
        <w:right w:val="none" w:sz="0" w:space="0" w:color="auto"/>
      </w:divBdr>
    </w:div>
    <w:div w:id="1449935071">
      <w:bodyDiv w:val="1"/>
      <w:marLeft w:val="0"/>
      <w:marRight w:val="0"/>
      <w:marTop w:val="0"/>
      <w:marBottom w:val="0"/>
      <w:divBdr>
        <w:top w:val="none" w:sz="0" w:space="0" w:color="auto"/>
        <w:left w:val="none" w:sz="0" w:space="0" w:color="auto"/>
        <w:bottom w:val="none" w:sz="0" w:space="0" w:color="auto"/>
        <w:right w:val="none" w:sz="0" w:space="0" w:color="auto"/>
      </w:divBdr>
    </w:div>
    <w:div w:id="1529023171">
      <w:bodyDiv w:val="1"/>
      <w:marLeft w:val="0"/>
      <w:marRight w:val="0"/>
      <w:marTop w:val="0"/>
      <w:marBottom w:val="0"/>
      <w:divBdr>
        <w:top w:val="none" w:sz="0" w:space="0" w:color="auto"/>
        <w:left w:val="none" w:sz="0" w:space="0" w:color="auto"/>
        <w:bottom w:val="none" w:sz="0" w:space="0" w:color="auto"/>
        <w:right w:val="none" w:sz="0" w:space="0" w:color="auto"/>
      </w:divBdr>
    </w:div>
    <w:div w:id="1698844712">
      <w:bodyDiv w:val="1"/>
      <w:marLeft w:val="0"/>
      <w:marRight w:val="0"/>
      <w:marTop w:val="0"/>
      <w:marBottom w:val="0"/>
      <w:divBdr>
        <w:top w:val="none" w:sz="0" w:space="0" w:color="auto"/>
        <w:left w:val="none" w:sz="0" w:space="0" w:color="auto"/>
        <w:bottom w:val="none" w:sz="0" w:space="0" w:color="auto"/>
        <w:right w:val="none" w:sz="0" w:space="0" w:color="auto"/>
      </w:divBdr>
    </w:div>
    <w:div w:id="1723551685">
      <w:bodyDiv w:val="1"/>
      <w:marLeft w:val="0"/>
      <w:marRight w:val="0"/>
      <w:marTop w:val="0"/>
      <w:marBottom w:val="0"/>
      <w:divBdr>
        <w:top w:val="none" w:sz="0" w:space="0" w:color="auto"/>
        <w:left w:val="none" w:sz="0" w:space="0" w:color="auto"/>
        <w:bottom w:val="none" w:sz="0" w:space="0" w:color="auto"/>
        <w:right w:val="none" w:sz="0" w:space="0" w:color="auto"/>
      </w:divBdr>
    </w:div>
    <w:div w:id="1928297815">
      <w:bodyDiv w:val="1"/>
      <w:marLeft w:val="0"/>
      <w:marRight w:val="0"/>
      <w:marTop w:val="0"/>
      <w:marBottom w:val="0"/>
      <w:divBdr>
        <w:top w:val="none" w:sz="0" w:space="0" w:color="auto"/>
        <w:left w:val="none" w:sz="0" w:space="0" w:color="auto"/>
        <w:bottom w:val="none" w:sz="0" w:space="0" w:color="auto"/>
        <w:right w:val="none" w:sz="0" w:space="0" w:color="auto"/>
      </w:divBdr>
    </w:div>
    <w:div w:id="198115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namataconvention.org/en/documents/minamata-convention-mercury-text-and-annexes" TargetMode="External"/><Relationship Id="rId18"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hyperlink" Target="https://www.who.int/publications/i/item/9789240090538" TargetMode="External"/><Relationship Id="rId7" Type="http://schemas.openxmlformats.org/officeDocument/2006/relationships/settings" Target="settings.xml"/><Relationship Id="rId12" Type="http://schemas.openxmlformats.org/officeDocument/2006/relationships/hyperlink" Target="https://www.who.int/publications/i/item/9789240090538" TargetMode="External"/><Relationship Id="rId17" Type="http://schemas.openxmlformats.org/officeDocument/2006/relationships/diagramColors" Target="diagrams/colors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QuickStyle" Target="diagrams/quickStyle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au/resources/publications/healthy-mouths-healthy-lives-australias-national-oral-health-plan-2015-2024?language=e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diagramLayout" Target="diagrams/layout1.xml"/><Relationship Id="rId23"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Data" Target="diagrams/data1.xml"/><Relationship Id="rId22" Type="http://schemas.openxmlformats.org/officeDocument/2006/relationships/hyperlink" Target="https://minamataconvention.org/en/documents/minamata-convention-mercury-text-and-annexes" TargetMode="Externa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EA3F36-714B-472F-9E51-A28131A33CE1}" type="doc">
      <dgm:prSet loTypeId="urn:microsoft.com/office/officeart/2005/8/layout/matrix1" loCatId="matrix" qsTypeId="urn:microsoft.com/office/officeart/2005/8/quickstyle/simple1" qsCatId="simple" csTypeId="urn:microsoft.com/office/officeart/2005/8/colors/accent1_3" csCatId="accent1" phldr="1"/>
      <dgm:spPr/>
      <dgm:t>
        <a:bodyPr/>
        <a:lstStyle/>
        <a:p>
          <a:endParaRPr lang="en-AU"/>
        </a:p>
      </dgm:t>
    </dgm:pt>
    <dgm:pt modelId="{7B9FCED6-0C0C-4933-B7AC-16118180CB6D}">
      <dgm:prSet phldrT="[Text]"/>
      <dgm:spPr/>
      <dgm:t>
        <a:bodyPr/>
        <a:lstStyle/>
        <a:p>
          <a:r>
            <a:rPr lang="en-AU"/>
            <a:t>Building the plan</a:t>
          </a:r>
        </a:p>
      </dgm:t>
    </dgm:pt>
    <dgm:pt modelId="{46C09BC4-9D8C-4AD8-A5B3-17AEF41D3934}" type="parTrans" cxnId="{AA1C126E-64DB-4FBE-BFC3-2DA5BB8800FE}">
      <dgm:prSet/>
      <dgm:spPr/>
      <dgm:t>
        <a:bodyPr/>
        <a:lstStyle/>
        <a:p>
          <a:endParaRPr lang="en-AU"/>
        </a:p>
      </dgm:t>
    </dgm:pt>
    <dgm:pt modelId="{1367E611-901E-4BA3-8779-07E856442245}" type="sibTrans" cxnId="{AA1C126E-64DB-4FBE-BFC3-2DA5BB8800FE}">
      <dgm:prSet/>
      <dgm:spPr/>
      <dgm:t>
        <a:bodyPr/>
        <a:lstStyle/>
        <a:p>
          <a:endParaRPr lang="en-AU"/>
        </a:p>
      </dgm:t>
    </dgm:pt>
    <dgm:pt modelId="{947DE81E-EE12-466A-8E09-492C6B22F2B9}">
      <dgm:prSet phldrT="[Text]"/>
      <dgm:spPr/>
      <dgm:t>
        <a:bodyPr/>
        <a:lstStyle/>
        <a:p>
          <a:r>
            <a:rPr lang="en-AU"/>
            <a:t>Focus groups with Aboriginal and Torres Strait Islander consumers and oral health providers</a:t>
          </a:r>
        </a:p>
      </dgm:t>
    </dgm:pt>
    <dgm:pt modelId="{EDBE13C0-0641-45A0-8DDD-B3B266FAC6D3}" type="parTrans" cxnId="{F3DEE1BC-B2AE-4D01-A472-339FCBF0BC73}">
      <dgm:prSet/>
      <dgm:spPr/>
      <dgm:t>
        <a:bodyPr/>
        <a:lstStyle/>
        <a:p>
          <a:endParaRPr lang="en-AU"/>
        </a:p>
      </dgm:t>
    </dgm:pt>
    <dgm:pt modelId="{5C5FE9CB-EE34-4C19-BFA4-B29EBE365C0E}" type="sibTrans" cxnId="{F3DEE1BC-B2AE-4D01-A472-339FCBF0BC73}">
      <dgm:prSet/>
      <dgm:spPr/>
      <dgm:t>
        <a:bodyPr/>
        <a:lstStyle/>
        <a:p>
          <a:endParaRPr lang="en-AU"/>
        </a:p>
      </dgm:t>
    </dgm:pt>
    <dgm:pt modelId="{F008E361-CD74-4D97-85E5-A73F6BE69670}">
      <dgm:prSet phldrT="[Text]"/>
      <dgm:spPr/>
      <dgm:t>
        <a:bodyPr/>
        <a:lstStyle/>
        <a:p>
          <a:r>
            <a:rPr lang="en-AU"/>
            <a:t>Targeted consultations with a diverse range of stakeholders</a:t>
          </a:r>
        </a:p>
      </dgm:t>
    </dgm:pt>
    <dgm:pt modelId="{AC31D595-2473-4C50-B14E-7D43BA24DFB0}" type="parTrans" cxnId="{B026B7B0-16B7-49F2-8439-00D263BC36C4}">
      <dgm:prSet/>
      <dgm:spPr/>
      <dgm:t>
        <a:bodyPr/>
        <a:lstStyle/>
        <a:p>
          <a:endParaRPr lang="en-AU"/>
        </a:p>
      </dgm:t>
    </dgm:pt>
    <dgm:pt modelId="{EEF4AE52-E29C-4956-AB7E-CB1B9725FC84}" type="sibTrans" cxnId="{B026B7B0-16B7-49F2-8439-00D263BC36C4}">
      <dgm:prSet/>
      <dgm:spPr/>
      <dgm:t>
        <a:bodyPr/>
        <a:lstStyle/>
        <a:p>
          <a:endParaRPr lang="en-AU"/>
        </a:p>
      </dgm:t>
    </dgm:pt>
    <dgm:pt modelId="{D0353242-F2E2-4A12-A459-81E587BB10C8}">
      <dgm:prSet phldrT="[Text]"/>
      <dgm:spPr>
        <a:solidFill>
          <a:schemeClr val="tx2">
            <a:lumMod val="50000"/>
            <a:lumOff val="50000"/>
          </a:schemeClr>
        </a:solidFill>
      </dgm:spPr>
      <dgm:t>
        <a:bodyPr/>
        <a:lstStyle/>
        <a:p>
          <a:r>
            <a:rPr lang="en-AU"/>
            <a:t>Analysis of relevant strategies, action plans and frameworks</a:t>
          </a:r>
        </a:p>
      </dgm:t>
    </dgm:pt>
    <dgm:pt modelId="{D9C6D97D-C5E6-46EA-81C8-047625D069DF}" type="parTrans" cxnId="{FF72A723-B571-4876-8371-29E1EEEA215C}">
      <dgm:prSet/>
      <dgm:spPr/>
      <dgm:t>
        <a:bodyPr/>
        <a:lstStyle/>
        <a:p>
          <a:endParaRPr lang="en-AU"/>
        </a:p>
      </dgm:t>
    </dgm:pt>
    <dgm:pt modelId="{081EF690-ADEB-44E6-BCE5-5263F633936F}" type="sibTrans" cxnId="{FF72A723-B571-4876-8371-29E1EEEA215C}">
      <dgm:prSet/>
      <dgm:spPr/>
      <dgm:t>
        <a:bodyPr/>
        <a:lstStyle/>
        <a:p>
          <a:endParaRPr lang="en-AU"/>
        </a:p>
      </dgm:t>
    </dgm:pt>
    <dgm:pt modelId="{27208CDD-FBED-4918-AED2-97DD835D5934}">
      <dgm:prSet phldrT="[Text]"/>
      <dgm:spPr>
        <a:solidFill>
          <a:schemeClr val="accent4">
            <a:lumMod val="75000"/>
          </a:schemeClr>
        </a:solidFill>
      </dgm:spPr>
      <dgm:t>
        <a:bodyPr/>
        <a:lstStyle/>
        <a:p>
          <a:r>
            <a:rPr lang="en-AU"/>
            <a:t>Advice from the Governance Group overseeing the Plan's development</a:t>
          </a:r>
        </a:p>
      </dgm:t>
    </dgm:pt>
    <dgm:pt modelId="{2D1579CC-171E-4434-A3D7-8D71A22D8312}" type="parTrans" cxnId="{0CFA8708-4180-4526-8C78-A6ABDF7F9114}">
      <dgm:prSet/>
      <dgm:spPr/>
      <dgm:t>
        <a:bodyPr/>
        <a:lstStyle/>
        <a:p>
          <a:endParaRPr lang="en-AU"/>
        </a:p>
      </dgm:t>
    </dgm:pt>
    <dgm:pt modelId="{A4BA473C-1623-4928-A56D-BB908D051E81}" type="sibTrans" cxnId="{0CFA8708-4180-4526-8C78-A6ABDF7F9114}">
      <dgm:prSet/>
      <dgm:spPr/>
      <dgm:t>
        <a:bodyPr/>
        <a:lstStyle/>
        <a:p>
          <a:endParaRPr lang="en-AU"/>
        </a:p>
      </dgm:t>
    </dgm:pt>
    <dgm:pt modelId="{E5235640-5CFB-476A-B078-3B40DB57ACED}" type="pres">
      <dgm:prSet presAssocID="{87EA3F36-714B-472F-9E51-A28131A33CE1}" presName="diagram" presStyleCnt="0">
        <dgm:presLayoutVars>
          <dgm:chMax val="1"/>
          <dgm:dir/>
          <dgm:animLvl val="ctr"/>
          <dgm:resizeHandles val="exact"/>
        </dgm:presLayoutVars>
      </dgm:prSet>
      <dgm:spPr/>
    </dgm:pt>
    <dgm:pt modelId="{D83FAAEB-CD45-4704-B0BE-DBC687E1A641}" type="pres">
      <dgm:prSet presAssocID="{87EA3F36-714B-472F-9E51-A28131A33CE1}" presName="matrix" presStyleCnt="0"/>
      <dgm:spPr/>
    </dgm:pt>
    <dgm:pt modelId="{50C18049-9010-402C-BD49-B0F22445AD25}" type="pres">
      <dgm:prSet presAssocID="{87EA3F36-714B-472F-9E51-A28131A33CE1}" presName="tile1" presStyleLbl="node1" presStyleIdx="0" presStyleCnt="4" custScaleX="100865" custLinFactNeighborX="775"/>
      <dgm:spPr/>
    </dgm:pt>
    <dgm:pt modelId="{0FA18996-FBB9-4526-855C-010DEF09A648}" type="pres">
      <dgm:prSet presAssocID="{87EA3F36-714B-472F-9E51-A28131A33CE1}" presName="tile1text" presStyleLbl="node1" presStyleIdx="0" presStyleCnt="4">
        <dgm:presLayoutVars>
          <dgm:chMax val="0"/>
          <dgm:chPref val="0"/>
          <dgm:bulletEnabled val="1"/>
        </dgm:presLayoutVars>
      </dgm:prSet>
      <dgm:spPr/>
    </dgm:pt>
    <dgm:pt modelId="{480559CD-E7E6-4E53-9817-C61B2CD6F641}" type="pres">
      <dgm:prSet presAssocID="{87EA3F36-714B-472F-9E51-A28131A33CE1}" presName="tile2" presStyleLbl="node1" presStyleIdx="1" presStyleCnt="4"/>
      <dgm:spPr/>
    </dgm:pt>
    <dgm:pt modelId="{94E45E09-1467-4B96-883F-C12CB2402943}" type="pres">
      <dgm:prSet presAssocID="{87EA3F36-714B-472F-9E51-A28131A33CE1}" presName="tile2text" presStyleLbl="node1" presStyleIdx="1" presStyleCnt="4">
        <dgm:presLayoutVars>
          <dgm:chMax val="0"/>
          <dgm:chPref val="0"/>
          <dgm:bulletEnabled val="1"/>
        </dgm:presLayoutVars>
      </dgm:prSet>
      <dgm:spPr/>
    </dgm:pt>
    <dgm:pt modelId="{1EBA76C0-40FB-4291-A453-B343DCFFDEEF}" type="pres">
      <dgm:prSet presAssocID="{87EA3F36-714B-472F-9E51-A28131A33CE1}" presName="tile3" presStyleLbl="node1" presStyleIdx="2" presStyleCnt="4"/>
      <dgm:spPr/>
    </dgm:pt>
    <dgm:pt modelId="{F5A0B21A-DED0-407B-B5C7-24520E8D424E}" type="pres">
      <dgm:prSet presAssocID="{87EA3F36-714B-472F-9E51-A28131A33CE1}" presName="tile3text" presStyleLbl="node1" presStyleIdx="2" presStyleCnt="4">
        <dgm:presLayoutVars>
          <dgm:chMax val="0"/>
          <dgm:chPref val="0"/>
          <dgm:bulletEnabled val="1"/>
        </dgm:presLayoutVars>
      </dgm:prSet>
      <dgm:spPr/>
    </dgm:pt>
    <dgm:pt modelId="{05C6324A-9B3F-45C5-BF87-D6C9B82F90DE}" type="pres">
      <dgm:prSet presAssocID="{87EA3F36-714B-472F-9E51-A28131A33CE1}" presName="tile4" presStyleLbl="node1" presStyleIdx="3" presStyleCnt="4"/>
      <dgm:spPr/>
    </dgm:pt>
    <dgm:pt modelId="{BF7D5A92-A0C8-464A-A7E3-0D7F9633B403}" type="pres">
      <dgm:prSet presAssocID="{87EA3F36-714B-472F-9E51-A28131A33CE1}" presName="tile4text" presStyleLbl="node1" presStyleIdx="3" presStyleCnt="4">
        <dgm:presLayoutVars>
          <dgm:chMax val="0"/>
          <dgm:chPref val="0"/>
          <dgm:bulletEnabled val="1"/>
        </dgm:presLayoutVars>
      </dgm:prSet>
      <dgm:spPr/>
    </dgm:pt>
    <dgm:pt modelId="{3C8DD303-6549-4F32-B947-474F72DF3DFB}" type="pres">
      <dgm:prSet presAssocID="{87EA3F36-714B-472F-9E51-A28131A33CE1}" presName="centerTile" presStyleLbl="fgShp" presStyleIdx="0" presStyleCnt="1">
        <dgm:presLayoutVars>
          <dgm:chMax val="0"/>
          <dgm:chPref val="0"/>
        </dgm:presLayoutVars>
      </dgm:prSet>
      <dgm:spPr/>
    </dgm:pt>
  </dgm:ptLst>
  <dgm:cxnLst>
    <dgm:cxn modelId="{0CFA8708-4180-4526-8C78-A6ABDF7F9114}" srcId="{7B9FCED6-0C0C-4933-B7AC-16118180CB6D}" destId="{27208CDD-FBED-4918-AED2-97DD835D5934}" srcOrd="3" destOrd="0" parTransId="{2D1579CC-171E-4434-A3D7-8D71A22D8312}" sibTransId="{A4BA473C-1623-4928-A56D-BB908D051E81}"/>
    <dgm:cxn modelId="{FF72A723-B571-4876-8371-29E1EEEA215C}" srcId="{7B9FCED6-0C0C-4933-B7AC-16118180CB6D}" destId="{D0353242-F2E2-4A12-A459-81E587BB10C8}" srcOrd="2" destOrd="0" parTransId="{D9C6D97D-C5E6-46EA-81C8-047625D069DF}" sibTransId="{081EF690-ADEB-44E6-BCE5-5263F633936F}"/>
    <dgm:cxn modelId="{2667B024-0B8F-481D-9074-E52360C45FE1}" type="presOf" srcId="{D0353242-F2E2-4A12-A459-81E587BB10C8}" destId="{1EBA76C0-40FB-4291-A453-B343DCFFDEEF}" srcOrd="0" destOrd="0" presId="urn:microsoft.com/office/officeart/2005/8/layout/matrix1"/>
    <dgm:cxn modelId="{280BCC4C-BEE6-4485-B12C-56129627D812}" type="presOf" srcId="{947DE81E-EE12-466A-8E09-492C6B22F2B9}" destId="{50C18049-9010-402C-BD49-B0F22445AD25}" srcOrd="0" destOrd="0" presId="urn:microsoft.com/office/officeart/2005/8/layout/matrix1"/>
    <dgm:cxn modelId="{AA1C126E-64DB-4FBE-BFC3-2DA5BB8800FE}" srcId="{87EA3F36-714B-472F-9E51-A28131A33CE1}" destId="{7B9FCED6-0C0C-4933-B7AC-16118180CB6D}" srcOrd="0" destOrd="0" parTransId="{46C09BC4-9D8C-4AD8-A5B3-17AEF41D3934}" sibTransId="{1367E611-901E-4BA3-8779-07E856442245}"/>
    <dgm:cxn modelId="{491A016F-8B45-440F-8B14-A7235347F219}" type="presOf" srcId="{D0353242-F2E2-4A12-A459-81E587BB10C8}" destId="{F5A0B21A-DED0-407B-B5C7-24520E8D424E}" srcOrd="1" destOrd="0" presId="urn:microsoft.com/office/officeart/2005/8/layout/matrix1"/>
    <dgm:cxn modelId="{C86AE55A-75FC-4E2A-9349-196E1BCCC623}" type="presOf" srcId="{F008E361-CD74-4D97-85E5-A73F6BE69670}" destId="{94E45E09-1467-4B96-883F-C12CB2402943}" srcOrd="1" destOrd="0" presId="urn:microsoft.com/office/officeart/2005/8/layout/matrix1"/>
    <dgm:cxn modelId="{B5E76989-54EC-4A35-97F3-6EB6415805F2}" type="presOf" srcId="{87EA3F36-714B-472F-9E51-A28131A33CE1}" destId="{E5235640-5CFB-476A-B078-3B40DB57ACED}" srcOrd="0" destOrd="0" presId="urn:microsoft.com/office/officeart/2005/8/layout/matrix1"/>
    <dgm:cxn modelId="{C16F7189-FC0A-4724-AD9D-14EF13779770}" type="presOf" srcId="{27208CDD-FBED-4918-AED2-97DD835D5934}" destId="{05C6324A-9B3F-45C5-BF87-D6C9B82F90DE}" srcOrd="0" destOrd="0" presId="urn:microsoft.com/office/officeart/2005/8/layout/matrix1"/>
    <dgm:cxn modelId="{6794328E-D2CD-49EE-91A7-0D468F59E5B2}" type="presOf" srcId="{947DE81E-EE12-466A-8E09-492C6B22F2B9}" destId="{0FA18996-FBB9-4526-855C-010DEF09A648}" srcOrd="1" destOrd="0" presId="urn:microsoft.com/office/officeart/2005/8/layout/matrix1"/>
    <dgm:cxn modelId="{F116AC9D-EFB2-4D75-9BA0-DC93A37116FE}" type="presOf" srcId="{7B9FCED6-0C0C-4933-B7AC-16118180CB6D}" destId="{3C8DD303-6549-4F32-B947-474F72DF3DFB}" srcOrd="0" destOrd="0" presId="urn:microsoft.com/office/officeart/2005/8/layout/matrix1"/>
    <dgm:cxn modelId="{49DAE1A0-A283-41C0-8C64-8B6E4B4B1972}" type="presOf" srcId="{27208CDD-FBED-4918-AED2-97DD835D5934}" destId="{BF7D5A92-A0C8-464A-A7E3-0D7F9633B403}" srcOrd="1" destOrd="0" presId="urn:microsoft.com/office/officeart/2005/8/layout/matrix1"/>
    <dgm:cxn modelId="{22E260AA-2373-4AEE-8CD5-BDAE1D1A012C}" type="presOf" srcId="{F008E361-CD74-4D97-85E5-A73F6BE69670}" destId="{480559CD-E7E6-4E53-9817-C61B2CD6F641}" srcOrd="0" destOrd="0" presId="urn:microsoft.com/office/officeart/2005/8/layout/matrix1"/>
    <dgm:cxn modelId="{B026B7B0-16B7-49F2-8439-00D263BC36C4}" srcId="{7B9FCED6-0C0C-4933-B7AC-16118180CB6D}" destId="{F008E361-CD74-4D97-85E5-A73F6BE69670}" srcOrd="1" destOrd="0" parTransId="{AC31D595-2473-4C50-B14E-7D43BA24DFB0}" sibTransId="{EEF4AE52-E29C-4956-AB7E-CB1B9725FC84}"/>
    <dgm:cxn modelId="{F3DEE1BC-B2AE-4D01-A472-339FCBF0BC73}" srcId="{7B9FCED6-0C0C-4933-B7AC-16118180CB6D}" destId="{947DE81E-EE12-466A-8E09-492C6B22F2B9}" srcOrd="0" destOrd="0" parTransId="{EDBE13C0-0641-45A0-8DDD-B3B266FAC6D3}" sibTransId="{5C5FE9CB-EE34-4C19-BFA4-B29EBE365C0E}"/>
    <dgm:cxn modelId="{3616C8D9-7BD2-4A26-B4ED-535E8B736C2B}" type="presParOf" srcId="{E5235640-5CFB-476A-B078-3B40DB57ACED}" destId="{D83FAAEB-CD45-4704-B0BE-DBC687E1A641}" srcOrd="0" destOrd="0" presId="urn:microsoft.com/office/officeart/2005/8/layout/matrix1"/>
    <dgm:cxn modelId="{82EB9BBF-9311-4653-AC76-1E8FA94B57EE}" type="presParOf" srcId="{D83FAAEB-CD45-4704-B0BE-DBC687E1A641}" destId="{50C18049-9010-402C-BD49-B0F22445AD25}" srcOrd="0" destOrd="0" presId="urn:microsoft.com/office/officeart/2005/8/layout/matrix1"/>
    <dgm:cxn modelId="{B958DACA-6340-47F4-B345-F9955FD1EBB7}" type="presParOf" srcId="{D83FAAEB-CD45-4704-B0BE-DBC687E1A641}" destId="{0FA18996-FBB9-4526-855C-010DEF09A648}" srcOrd="1" destOrd="0" presId="urn:microsoft.com/office/officeart/2005/8/layout/matrix1"/>
    <dgm:cxn modelId="{0D0F2DB6-106F-4F9C-AC45-C542C7D415B3}" type="presParOf" srcId="{D83FAAEB-CD45-4704-B0BE-DBC687E1A641}" destId="{480559CD-E7E6-4E53-9817-C61B2CD6F641}" srcOrd="2" destOrd="0" presId="urn:microsoft.com/office/officeart/2005/8/layout/matrix1"/>
    <dgm:cxn modelId="{584B0B98-B0F7-48C7-983D-751D4B237069}" type="presParOf" srcId="{D83FAAEB-CD45-4704-B0BE-DBC687E1A641}" destId="{94E45E09-1467-4B96-883F-C12CB2402943}" srcOrd="3" destOrd="0" presId="urn:microsoft.com/office/officeart/2005/8/layout/matrix1"/>
    <dgm:cxn modelId="{9B7EBD32-FD67-437E-A2FA-FB867FAE1BA5}" type="presParOf" srcId="{D83FAAEB-CD45-4704-B0BE-DBC687E1A641}" destId="{1EBA76C0-40FB-4291-A453-B343DCFFDEEF}" srcOrd="4" destOrd="0" presId="urn:microsoft.com/office/officeart/2005/8/layout/matrix1"/>
    <dgm:cxn modelId="{25ED41D2-260A-4A67-A436-1881D540841F}" type="presParOf" srcId="{D83FAAEB-CD45-4704-B0BE-DBC687E1A641}" destId="{F5A0B21A-DED0-407B-B5C7-24520E8D424E}" srcOrd="5" destOrd="0" presId="urn:microsoft.com/office/officeart/2005/8/layout/matrix1"/>
    <dgm:cxn modelId="{BF4EFA58-31BB-4CAF-8E48-C6CFE3FF6710}" type="presParOf" srcId="{D83FAAEB-CD45-4704-B0BE-DBC687E1A641}" destId="{05C6324A-9B3F-45C5-BF87-D6C9B82F90DE}" srcOrd="6" destOrd="0" presId="urn:microsoft.com/office/officeart/2005/8/layout/matrix1"/>
    <dgm:cxn modelId="{4FE1AD79-62A9-4917-B09E-A84CD58DD3D1}" type="presParOf" srcId="{D83FAAEB-CD45-4704-B0BE-DBC687E1A641}" destId="{BF7D5A92-A0C8-464A-A7E3-0D7F9633B403}" srcOrd="7" destOrd="0" presId="urn:microsoft.com/office/officeart/2005/8/layout/matrix1"/>
    <dgm:cxn modelId="{E2B48DA7-84E1-4303-AC19-205606B79ECC}" type="presParOf" srcId="{E5235640-5CFB-476A-B078-3B40DB57ACED}" destId="{3C8DD303-6549-4F32-B947-474F72DF3DFB}" srcOrd="1" destOrd="0" presId="urn:microsoft.com/office/officeart/2005/8/layout/matrix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C18049-9010-402C-BD49-B0F22445AD25}">
      <dsp:nvSpPr>
        <dsp:cNvPr id="0" name=""/>
        <dsp:cNvSpPr/>
      </dsp:nvSpPr>
      <dsp:spPr>
        <a:xfrm rot="16200000">
          <a:off x="687857" y="-673275"/>
          <a:ext cx="1285875" cy="2632425"/>
        </a:xfrm>
        <a:prstGeom prst="round1Rect">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AU" sz="1300" kern="1200"/>
            <a:t>Focus groups with Aboriginal and Torres Strait Islander consumers and oral health providers</a:t>
          </a:r>
        </a:p>
      </dsp:txBody>
      <dsp:txXfrm rot="5400000">
        <a:off x="14583" y="0"/>
        <a:ext cx="2632425" cy="964406"/>
      </dsp:txXfrm>
    </dsp:sp>
    <dsp:sp modelId="{480559CD-E7E6-4E53-9817-C61B2CD6F641}">
      <dsp:nvSpPr>
        <dsp:cNvPr id="0" name=""/>
        <dsp:cNvSpPr/>
      </dsp:nvSpPr>
      <dsp:spPr>
        <a:xfrm>
          <a:off x="2615493" y="0"/>
          <a:ext cx="2609850" cy="1285875"/>
        </a:xfrm>
        <a:prstGeom prst="round1Rect">
          <a:avLst/>
        </a:prstGeom>
        <a:solidFill>
          <a:schemeClr val="accent1">
            <a:shade val="80000"/>
            <a:hueOff val="181866"/>
            <a:satOff val="-18964"/>
            <a:lumOff val="1274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AU" sz="1300" kern="1200"/>
            <a:t>Targeted consultations with a diverse range of stakeholders</a:t>
          </a:r>
        </a:p>
      </dsp:txBody>
      <dsp:txXfrm>
        <a:off x="2615493" y="0"/>
        <a:ext cx="2609850" cy="964406"/>
      </dsp:txXfrm>
    </dsp:sp>
    <dsp:sp modelId="{1EBA76C0-40FB-4291-A453-B343DCFFDEEF}">
      <dsp:nvSpPr>
        <dsp:cNvPr id="0" name=""/>
        <dsp:cNvSpPr/>
      </dsp:nvSpPr>
      <dsp:spPr>
        <a:xfrm rot="10800000">
          <a:off x="5643" y="1285875"/>
          <a:ext cx="2609850" cy="1285875"/>
        </a:xfrm>
        <a:prstGeom prst="round1Rect">
          <a:avLst/>
        </a:prstGeom>
        <a:solidFill>
          <a:schemeClr val="tx2">
            <a:lumMod val="50000"/>
            <a:lumOff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AU" sz="1300" kern="1200"/>
            <a:t>Analysis of relevant strategies, action plans and frameworks</a:t>
          </a:r>
        </a:p>
      </dsp:txBody>
      <dsp:txXfrm rot="10800000">
        <a:off x="5643" y="1607343"/>
        <a:ext cx="2609850" cy="964406"/>
      </dsp:txXfrm>
    </dsp:sp>
    <dsp:sp modelId="{05C6324A-9B3F-45C5-BF87-D6C9B82F90DE}">
      <dsp:nvSpPr>
        <dsp:cNvPr id="0" name=""/>
        <dsp:cNvSpPr/>
      </dsp:nvSpPr>
      <dsp:spPr>
        <a:xfrm rot="5400000">
          <a:off x="3277481" y="623887"/>
          <a:ext cx="1285875" cy="2609850"/>
        </a:xfrm>
        <a:prstGeom prst="round1Rect">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AU" sz="1300" kern="1200"/>
            <a:t>Advice from the Governance Group overseeing the Plan's development</a:t>
          </a:r>
        </a:p>
      </dsp:txBody>
      <dsp:txXfrm rot="-5400000">
        <a:off x="2615493" y="1607343"/>
        <a:ext cx="2609850" cy="964406"/>
      </dsp:txXfrm>
    </dsp:sp>
    <dsp:sp modelId="{3C8DD303-6549-4F32-B947-474F72DF3DFB}">
      <dsp:nvSpPr>
        <dsp:cNvPr id="0" name=""/>
        <dsp:cNvSpPr/>
      </dsp:nvSpPr>
      <dsp:spPr>
        <a:xfrm>
          <a:off x="1826895" y="964406"/>
          <a:ext cx="1565910" cy="642937"/>
        </a:xfrm>
        <a:prstGeom prst="roundRect">
          <a:avLst/>
        </a:prstGeom>
        <a:solidFill>
          <a:schemeClr val="accent1">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AU" sz="1300" kern="1200"/>
            <a:t>Building the plan</a:t>
          </a:r>
        </a:p>
      </dsp:txBody>
      <dsp:txXfrm>
        <a:off x="1858281" y="995792"/>
        <a:ext cx="1503138" cy="580165"/>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f16a38-faa3-4b9f-b657-06c897b0653c" xsi:nil="true"/>
    <lcf76f155ced4ddcb4097134ff3c332f xmlns="e969c5e6-0ce8-446a-94e6-f9af36cacdd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DD6DEDA69F8946B35FDBD410AA77BF" ma:contentTypeVersion="12" ma:contentTypeDescription="Create a new document." ma:contentTypeScope="" ma:versionID="31a248fb6a9868aedc5d3c46ffec426e">
  <xsd:schema xmlns:xsd="http://www.w3.org/2001/XMLSchema" xmlns:xs="http://www.w3.org/2001/XMLSchema" xmlns:p="http://schemas.microsoft.com/office/2006/metadata/properties" xmlns:ns2="e969c5e6-0ce8-446a-94e6-f9af36cacdda" xmlns:ns3="08f16a38-faa3-4b9f-b657-06c897b0653c" targetNamespace="http://schemas.microsoft.com/office/2006/metadata/properties" ma:root="true" ma:fieldsID="072108edcd4bea12b7ae423b673bf134" ns2:_="" ns3:_="">
    <xsd:import namespace="e969c5e6-0ce8-446a-94e6-f9af36cacdda"/>
    <xsd:import namespace="08f16a38-faa3-4b9f-b657-06c897b0653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9c5e6-0ce8-446a-94e6-f9af36cac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f16a38-faa3-4b9f-b657-06c897b0653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0fd4d87-5317-4697-8844-d42eda437c39}" ma:internalName="TaxCatchAll" ma:showField="CatchAllData" ma:web="08f16a38-faa3-4b9f-b657-06c897b06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B2EBE-4B89-4B83-AAD4-B51037174AAF}">
  <ds:schemaRefs>
    <ds:schemaRef ds:uri="http://schemas.microsoft.com/office/2006/metadata/properties"/>
    <ds:schemaRef ds:uri="http://schemas.microsoft.com/office/infopath/2007/PartnerControls"/>
    <ds:schemaRef ds:uri="08f16a38-faa3-4b9f-b657-06c897b0653c"/>
    <ds:schemaRef ds:uri="e969c5e6-0ce8-446a-94e6-f9af36cacdda"/>
  </ds:schemaRefs>
</ds:datastoreItem>
</file>

<file path=customXml/itemProps2.xml><?xml version="1.0" encoding="utf-8"?>
<ds:datastoreItem xmlns:ds="http://schemas.openxmlformats.org/officeDocument/2006/customXml" ds:itemID="{2FE2FB06-1D31-4758-B1EE-64871FF09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9c5e6-0ce8-446a-94e6-f9af36cacdda"/>
    <ds:schemaRef ds:uri="08f16a38-faa3-4b9f-b657-06c897b06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01A6FB-CC3D-4767-BA88-CACBD5CF4124}">
  <ds:schemaRefs>
    <ds:schemaRef ds:uri="http://schemas.microsoft.com/sharepoint/v3/contenttype/forms"/>
  </ds:schemaRefs>
</ds:datastoreItem>
</file>

<file path=customXml/itemProps4.xml><?xml version="1.0" encoding="utf-8"?>
<ds:datastoreItem xmlns:ds="http://schemas.openxmlformats.org/officeDocument/2006/customXml" ds:itemID="{38FC5A6A-CD35-4334-8044-D8BDEC35B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2634</Words>
  <Characters>15019</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RAGO, Lucia</dc:creator>
  <cp:keywords/>
  <dc:description/>
  <cp:lastModifiedBy>RAGO, Lucia</cp:lastModifiedBy>
  <cp:revision>2</cp:revision>
  <dcterms:created xsi:type="dcterms:W3CDTF">2025-09-04T03:37:00Z</dcterms:created>
  <dcterms:modified xsi:type="dcterms:W3CDTF">2025-09-04T03:37:00Z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0x0101005FDD6DEDA69F8946B35FDBD410AA77BF</vt:lpwstr>
  </property>
</Properties>
</file>